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hint="eastAsia" w:asciiTheme="minorEastAsia" w:hAnsiTheme="minorEastAsia" w:eastAsiaTheme="minorEastAsia" w:cstheme="minorEastAsia"/>
          <w:b/>
          <w:bCs/>
          <w:color w:val="000000" w:themeColor="text1"/>
          <w:kern w:val="0"/>
          <w:sz w:val="32"/>
          <w:szCs w:val="32"/>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kern w:val="0"/>
          <w:sz w:val="32"/>
          <w:szCs w:val="32"/>
          <w:lang w:val="en-US" w:eastAsia="zh-CN"/>
          <w14:textFill>
            <w14:solidFill>
              <w14:schemeClr w14:val="tx1"/>
            </w14:solidFill>
          </w14:textFill>
        </w:rPr>
        <w:t>高三政治答案</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737"/>
        <w:gridCol w:w="737"/>
        <w:gridCol w:w="737"/>
        <w:gridCol w:w="737"/>
        <w:gridCol w:w="737"/>
        <w:gridCol w:w="737"/>
        <w:gridCol w:w="737"/>
        <w:gridCol w:w="737"/>
        <w:gridCol w:w="737"/>
        <w:gridCol w:w="737"/>
        <w:gridCol w:w="737"/>
        <w:gridCol w:w="7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737" w:type="dxa"/>
          </w:tcPr>
          <w:p>
            <w:pPr>
              <w:pStyle w:val="2"/>
              <w:jc w:val="center"/>
              <w:rPr>
                <w:rFonts w:hint="default"/>
                <w:sz w:val="24"/>
                <w:szCs w:val="28"/>
                <w:vertAlign w:val="baseline"/>
                <w:lang w:val="en-US" w:eastAsia="zh-CN"/>
              </w:rPr>
            </w:pPr>
            <w:r>
              <w:rPr>
                <w:rFonts w:hint="eastAsia"/>
                <w:sz w:val="24"/>
                <w:szCs w:val="28"/>
                <w:vertAlign w:val="baseline"/>
                <w:lang w:val="en-US" w:eastAsia="zh-CN"/>
              </w:rPr>
              <w:t>12</w:t>
            </w:r>
          </w:p>
        </w:tc>
        <w:tc>
          <w:tcPr>
            <w:tcW w:w="737" w:type="dxa"/>
          </w:tcPr>
          <w:p>
            <w:pPr>
              <w:pStyle w:val="2"/>
              <w:jc w:val="center"/>
              <w:rPr>
                <w:rFonts w:hint="default"/>
                <w:sz w:val="24"/>
                <w:szCs w:val="28"/>
                <w:vertAlign w:val="baseline"/>
                <w:lang w:val="en-US" w:eastAsia="zh-CN"/>
              </w:rPr>
            </w:pPr>
            <w:r>
              <w:rPr>
                <w:rFonts w:hint="eastAsia"/>
                <w:sz w:val="24"/>
                <w:szCs w:val="28"/>
                <w:vertAlign w:val="baseline"/>
                <w:lang w:val="en-US" w:eastAsia="zh-CN"/>
              </w:rPr>
              <w:t>13</w:t>
            </w:r>
          </w:p>
        </w:tc>
        <w:tc>
          <w:tcPr>
            <w:tcW w:w="737" w:type="dxa"/>
          </w:tcPr>
          <w:p>
            <w:pPr>
              <w:pStyle w:val="2"/>
              <w:jc w:val="center"/>
              <w:rPr>
                <w:rFonts w:hint="default"/>
                <w:sz w:val="24"/>
                <w:szCs w:val="28"/>
                <w:vertAlign w:val="baseline"/>
                <w:lang w:val="en-US" w:eastAsia="zh-CN"/>
              </w:rPr>
            </w:pPr>
            <w:r>
              <w:rPr>
                <w:rFonts w:hint="eastAsia"/>
                <w:sz w:val="24"/>
                <w:szCs w:val="28"/>
                <w:vertAlign w:val="baseline"/>
                <w:lang w:val="en-US" w:eastAsia="zh-CN"/>
              </w:rPr>
              <w:t>14</w:t>
            </w:r>
          </w:p>
        </w:tc>
        <w:tc>
          <w:tcPr>
            <w:tcW w:w="737" w:type="dxa"/>
          </w:tcPr>
          <w:p>
            <w:pPr>
              <w:pStyle w:val="2"/>
              <w:jc w:val="center"/>
              <w:rPr>
                <w:rFonts w:hint="default"/>
                <w:sz w:val="24"/>
                <w:szCs w:val="28"/>
                <w:vertAlign w:val="baseline"/>
                <w:lang w:val="en-US" w:eastAsia="zh-CN"/>
              </w:rPr>
            </w:pPr>
            <w:r>
              <w:rPr>
                <w:rFonts w:hint="eastAsia"/>
                <w:sz w:val="24"/>
                <w:szCs w:val="28"/>
                <w:vertAlign w:val="baseline"/>
                <w:lang w:val="en-US" w:eastAsia="zh-CN"/>
              </w:rPr>
              <w:t>15</w:t>
            </w:r>
          </w:p>
        </w:tc>
        <w:tc>
          <w:tcPr>
            <w:tcW w:w="737" w:type="dxa"/>
          </w:tcPr>
          <w:p>
            <w:pPr>
              <w:pStyle w:val="2"/>
              <w:jc w:val="center"/>
              <w:rPr>
                <w:rFonts w:hint="default"/>
                <w:sz w:val="24"/>
                <w:szCs w:val="28"/>
                <w:vertAlign w:val="baseline"/>
                <w:lang w:val="en-US" w:eastAsia="zh-CN"/>
              </w:rPr>
            </w:pPr>
            <w:r>
              <w:rPr>
                <w:rFonts w:hint="eastAsia"/>
                <w:sz w:val="24"/>
                <w:szCs w:val="28"/>
                <w:vertAlign w:val="baseline"/>
                <w:lang w:val="en-US" w:eastAsia="zh-CN"/>
              </w:rPr>
              <w:t>16</w:t>
            </w:r>
          </w:p>
        </w:tc>
        <w:tc>
          <w:tcPr>
            <w:tcW w:w="737" w:type="dxa"/>
          </w:tcPr>
          <w:p>
            <w:pPr>
              <w:pStyle w:val="2"/>
              <w:jc w:val="center"/>
              <w:rPr>
                <w:rFonts w:hint="default"/>
                <w:sz w:val="24"/>
                <w:szCs w:val="28"/>
                <w:vertAlign w:val="baseline"/>
                <w:lang w:val="en-US" w:eastAsia="zh-CN"/>
              </w:rPr>
            </w:pPr>
            <w:r>
              <w:rPr>
                <w:rFonts w:hint="eastAsia"/>
                <w:sz w:val="24"/>
                <w:szCs w:val="28"/>
                <w:vertAlign w:val="baseline"/>
                <w:lang w:val="en-US" w:eastAsia="zh-CN"/>
              </w:rPr>
              <w:t>17</w:t>
            </w:r>
          </w:p>
        </w:tc>
        <w:tc>
          <w:tcPr>
            <w:tcW w:w="737" w:type="dxa"/>
          </w:tcPr>
          <w:p>
            <w:pPr>
              <w:pStyle w:val="2"/>
              <w:jc w:val="center"/>
              <w:rPr>
                <w:rFonts w:hint="default"/>
                <w:sz w:val="24"/>
                <w:szCs w:val="28"/>
                <w:vertAlign w:val="baseline"/>
                <w:lang w:val="en-US" w:eastAsia="zh-CN"/>
              </w:rPr>
            </w:pPr>
            <w:r>
              <w:rPr>
                <w:rFonts w:hint="eastAsia"/>
                <w:sz w:val="24"/>
                <w:szCs w:val="28"/>
                <w:vertAlign w:val="baseline"/>
                <w:lang w:val="en-US" w:eastAsia="zh-CN"/>
              </w:rPr>
              <w:t>18</w:t>
            </w:r>
          </w:p>
        </w:tc>
        <w:tc>
          <w:tcPr>
            <w:tcW w:w="737" w:type="dxa"/>
          </w:tcPr>
          <w:p>
            <w:pPr>
              <w:pStyle w:val="2"/>
              <w:jc w:val="center"/>
              <w:rPr>
                <w:rFonts w:hint="default"/>
                <w:sz w:val="24"/>
                <w:szCs w:val="28"/>
                <w:vertAlign w:val="baseline"/>
                <w:lang w:val="en-US" w:eastAsia="zh-CN"/>
              </w:rPr>
            </w:pPr>
            <w:r>
              <w:rPr>
                <w:rFonts w:hint="eastAsia"/>
                <w:sz w:val="24"/>
                <w:szCs w:val="28"/>
                <w:vertAlign w:val="baseline"/>
                <w:lang w:val="en-US" w:eastAsia="zh-CN"/>
              </w:rPr>
              <w:t>19</w:t>
            </w:r>
          </w:p>
        </w:tc>
        <w:tc>
          <w:tcPr>
            <w:tcW w:w="737" w:type="dxa"/>
          </w:tcPr>
          <w:p>
            <w:pPr>
              <w:pStyle w:val="2"/>
              <w:jc w:val="center"/>
              <w:rPr>
                <w:rFonts w:hint="default"/>
                <w:sz w:val="24"/>
                <w:szCs w:val="28"/>
                <w:vertAlign w:val="baseline"/>
                <w:lang w:val="en-US" w:eastAsia="zh-CN"/>
              </w:rPr>
            </w:pPr>
            <w:r>
              <w:rPr>
                <w:rFonts w:hint="eastAsia"/>
                <w:sz w:val="24"/>
                <w:szCs w:val="28"/>
                <w:vertAlign w:val="baseline"/>
                <w:lang w:val="en-US" w:eastAsia="zh-CN"/>
              </w:rPr>
              <w:t>20</w:t>
            </w:r>
          </w:p>
        </w:tc>
        <w:tc>
          <w:tcPr>
            <w:tcW w:w="737" w:type="dxa"/>
          </w:tcPr>
          <w:p>
            <w:pPr>
              <w:pStyle w:val="2"/>
              <w:jc w:val="center"/>
              <w:rPr>
                <w:rFonts w:hint="default"/>
                <w:sz w:val="24"/>
                <w:szCs w:val="28"/>
                <w:vertAlign w:val="baseline"/>
                <w:lang w:val="en-US" w:eastAsia="zh-CN"/>
              </w:rPr>
            </w:pPr>
            <w:r>
              <w:rPr>
                <w:rFonts w:hint="eastAsia"/>
                <w:sz w:val="24"/>
                <w:szCs w:val="28"/>
                <w:vertAlign w:val="baseline"/>
                <w:lang w:val="en-US" w:eastAsia="zh-CN"/>
              </w:rPr>
              <w:t>21</w:t>
            </w:r>
          </w:p>
        </w:tc>
        <w:tc>
          <w:tcPr>
            <w:tcW w:w="737" w:type="dxa"/>
          </w:tcPr>
          <w:p>
            <w:pPr>
              <w:pStyle w:val="2"/>
              <w:jc w:val="center"/>
              <w:rPr>
                <w:rFonts w:hint="default"/>
                <w:sz w:val="24"/>
                <w:szCs w:val="28"/>
                <w:vertAlign w:val="baseline"/>
                <w:lang w:val="en-US" w:eastAsia="zh-CN"/>
              </w:rPr>
            </w:pPr>
            <w:r>
              <w:rPr>
                <w:rFonts w:hint="eastAsia"/>
                <w:sz w:val="24"/>
                <w:szCs w:val="28"/>
                <w:vertAlign w:val="baseline"/>
                <w:lang w:val="en-US" w:eastAsia="zh-CN"/>
              </w:rPr>
              <w:t>22</w:t>
            </w:r>
          </w:p>
        </w:tc>
        <w:tc>
          <w:tcPr>
            <w:tcW w:w="737" w:type="dxa"/>
          </w:tcPr>
          <w:p>
            <w:pPr>
              <w:pStyle w:val="2"/>
              <w:jc w:val="center"/>
              <w:rPr>
                <w:rFonts w:hint="default"/>
                <w:sz w:val="24"/>
                <w:szCs w:val="28"/>
                <w:vertAlign w:val="baseline"/>
                <w:lang w:val="en-US" w:eastAsia="zh-CN"/>
              </w:rPr>
            </w:pPr>
            <w:r>
              <w:rPr>
                <w:rFonts w:hint="eastAsia"/>
                <w:sz w:val="24"/>
                <w:szCs w:val="28"/>
                <w:vertAlign w:val="baseline"/>
                <w:lang w:val="en-US" w:eastAsia="zh-CN"/>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737" w:type="dxa"/>
          </w:tcPr>
          <w:p>
            <w:pPr>
              <w:pStyle w:val="2"/>
              <w:jc w:val="center"/>
              <w:rPr>
                <w:rFonts w:hint="default"/>
                <w:sz w:val="24"/>
                <w:szCs w:val="28"/>
                <w:vertAlign w:val="baseline"/>
                <w:lang w:val="en-US" w:eastAsia="zh-CN"/>
              </w:rPr>
            </w:pPr>
            <w:r>
              <w:rPr>
                <w:rFonts w:hint="eastAsia"/>
                <w:sz w:val="24"/>
                <w:szCs w:val="28"/>
                <w:vertAlign w:val="baseline"/>
                <w:lang w:val="en-US" w:eastAsia="zh-CN"/>
              </w:rPr>
              <w:t>B</w:t>
            </w:r>
          </w:p>
        </w:tc>
        <w:tc>
          <w:tcPr>
            <w:tcW w:w="737" w:type="dxa"/>
          </w:tcPr>
          <w:p>
            <w:pPr>
              <w:pStyle w:val="2"/>
              <w:jc w:val="center"/>
              <w:rPr>
                <w:rFonts w:hint="default"/>
                <w:sz w:val="24"/>
                <w:szCs w:val="28"/>
                <w:vertAlign w:val="baseline"/>
                <w:lang w:val="en-US" w:eastAsia="zh-CN"/>
              </w:rPr>
            </w:pPr>
            <w:r>
              <w:rPr>
                <w:rFonts w:hint="eastAsia"/>
                <w:sz w:val="24"/>
                <w:szCs w:val="28"/>
                <w:vertAlign w:val="baseline"/>
                <w:lang w:val="en-US" w:eastAsia="zh-CN"/>
              </w:rPr>
              <w:t>A</w:t>
            </w:r>
          </w:p>
        </w:tc>
        <w:tc>
          <w:tcPr>
            <w:tcW w:w="737" w:type="dxa"/>
          </w:tcPr>
          <w:p>
            <w:pPr>
              <w:pStyle w:val="2"/>
              <w:jc w:val="center"/>
              <w:rPr>
                <w:rFonts w:hint="default"/>
                <w:sz w:val="24"/>
                <w:szCs w:val="28"/>
                <w:vertAlign w:val="baseline"/>
                <w:lang w:val="en-US" w:eastAsia="zh-CN"/>
              </w:rPr>
            </w:pPr>
            <w:r>
              <w:rPr>
                <w:rFonts w:hint="eastAsia"/>
                <w:sz w:val="24"/>
                <w:szCs w:val="28"/>
                <w:vertAlign w:val="baseline"/>
                <w:lang w:val="en-US" w:eastAsia="zh-CN"/>
              </w:rPr>
              <w:t>D</w:t>
            </w:r>
          </w:p>
        </w:tc>
        <w:tc>
          <w:tcPr>
            <w:tcW w:w="737" w:type="dxa"/>
          </w:tcPr>
          <w:p>
            <w:pPr>
              <w:pStyle w:val="2"/>
              <w:jc w:val="center"/>
              <w:rPr>
                <w:rFonts w:hint="default"/>
                <w:sz w:val="24"/>
                <w:szCs w:val="28"/>
                <w:vertAlign w:val="baseline"/>
                <w:lang w:val="en-US" w:eastAsia="zh-CN"/>
              </w:rPr>
            </w:pPr>
            <w:r>
              <w:rPr>
                <w:rFonts w:hint="eastAsia"/>
                <w:sz w:val="24"/>
                <w:szCs w:val="28"/>
                <w:vertAlign w:val="baseline"/>
                <w:lang w:val="en-US" w:eastAsia="zh-CN"/>
              </w:rPr>
              <w:t>A</w:t>
            </w:r>
          </w:p>
        </w:tc>
        <w:tc>
          <w:tcPr>
            <w:tcW w:w="737" w:type="dxa"/>
          </w:tcPr>
          <w:p>
            <w:pPr>
              <w:pStyle w:val="2"/>
              <w:jc w:val="center"/>
              <w:rPr>
                <w:rFonts w:hint="default"/>
                <w:sz w:val="24"/>
                <w:szCs w:val="28"/>
                <w:vertAlign w:val="baseline"/>
                <w:lang w:val="en-US" w:eastAsia="zh-CN"/>
              </w:rPr>
            </w:pPr>
            <w:r>
              <w:rPr>
                <w:rFonts w:hint="eastAsia"/>
                <w:sz w:val="24"/>
                <w:szCs w:val="28"/>
                <w:vertAlign w:val="baseline"/>
                <w:lang w:val="en-US" w:eastAsia="zh-CN"/>
              </w:rPr>
              <w:t>C</w:t>
            </w:r>
          </w:p>
        </w:tc>
        <w:tc>
          <w:tcPr>
            <w:tcW w:w="737" w:type="dxa"/>
          </w:tcPr>
          <w:p>
            <w:pPr>
              <w:pStyle w:val="2"/>
              <w:jc w:val="center"/>
              <w:rPr>
                <w:rFonts w:hint="default"/>
                <w:sz w:val="24"/>
                <w:szCs w:val="28"/>
                <w:vertAlign w:val="baseline"/>
                <w:lang w:val="en-US" w:eastAsia="zh-CN"/>
              </w:rPr>
            </w:pPr>
            <w:r>
              <w:rPr>
                <w:rFonts w:hint="eastAsia"/>
                <w:sz w:val="24"/>
                <w:szCs w:val="28"/>
                <w:vertAlign w:val="baseline"/>
                <w:lang w:val="en-US" w:eastAsia="zh-CN"/>
              </w:rPr>
              <w:t>D</w:t>
            </w:r>
          </w:p>
        </w:tc>
        <w:tc>
          <w:tcPr>
            <w:tcW w:w="737" w:type="dxa"/>
          </w:tcPr>
          <w:p>
            <w:pPr>
              <w:pStyle w:val="2"/>
              <w:jc w:val="center"/>
              <w:rPr>
                <w:rFonts w:hint="default"/>
                <w:sz w:val="24"/>
                <w:szCs w:val="28"/>
                <w:vertAlign w:val="baseline"/>
                <w:lang w:val="en-US" w:eastAsia="zh-CN"/>
              </w:rPr>
            </w:pPr>
            <w:r>
              <w:rPr>
                <w:rFonts w:hint="eastAsia"/>
                <w:sz w:val="24"/>
                <w:szCs w:val="28"/>
                <w:vertAlign w:val="baseline"/>
                <w:lang w:val="en-US" w:eastAsia="zh-CN"/>
              </w:rPr>
              <w:t>B</w:t>
            </w:r>
          </w:p>
        </w:tc>
        <w:tc>
          <w:tcPr>
            <w:tcW w:w="737" w:type="dxa"/>
          </w:tcPr>
          <w:p>
            <w:pPr>
              <w:pStyle w:val="2"/>
              <w:jc w:val="center"/>
              <w:rPr>
                <w:rFonts w:hint="default"/>
                <w:sz w:val="24"/>
                <w:szCs w:val="28"/>
                <w:vertAlign w:val="baseline"/>
                <w:lang w:val="en-US" w:eastAsia="zh-CN"/>
              </w:rPr>
            </w:pPr>
            <w:r>
              <w:rPr>
                <w:rFonts w:hint="eastAsia"/>
                <w:sz w:val="24"/>
                <w:szCs w:val="28"/>
                <w:vertAlign w:val="baseline"/>
                <w:lang w:val="en-US" w:eastAsia="zh-CN"/>
              </w:rPr>
              <w:t>D</w:t>
            </w:r>
          </w:p>
        </w:tc>
        <w:tc>
          <w:tcPr>
            <w:tcW w:w="737" w:type="dxa"/>
          </w:tcPr>
          <w:p>
            <w:pPr>
              <w:pStyle w:val="2"/>
              <w:jc w:val="center"/>
              <w:rPr>
                <w:rFonts w:hint="default"/>
                <w:sz w:val="24"/>
                <w:szCs w:val="28"/>
                <w:vertAlign w:val="baseline"/>
                <w:lang w:val="en-US" w:eastAsia="zh-CN"/>
              </w:rPr>
            </w:pPr>
            <w:r>
              <w:rPr>
                <w:rFonts w:hint="eastAsia"/>
                <w:sz w:val="24"/>
                <w:szCs w:val="28"/>
                <w:vertAlign w:val="baseline"/>
                <w:lang w:val="en-US" w:eastAsia="zh-CN"/>
              </w:rPr>
              <w:t>B</w:t>
            </w:r>
          </w:p>
        </w:tc>
        <w:tc>
          <w:tcPr>
            <w:tcW w:w="737" w:type="dxa"/>
          </w:tcPr>
          <w:p>
            <w:pPr>
              <w:pStyle w:val="2"/>
              <w:jc w:val="center"/>
              <w:rPr>
                <w:rFonts w:hint="default"/>
                <w:sz w:val="24"/>
                <w:szCs w:val="28"/>
                <w:vertAlign w:val="baseline"/>
                <w:lang w:val="en-US" w:eastAsia="zh-CN"/>
              </w:rPr>
            </w:pPr>
            <w:r>
              <w:rPr>
                <w:rFonts w:hint="eastAsia"/>
                <w:sz w:val="24"/>
                <w:szCs w:val="28"/>
                <w:vertAlign w:val="baseline"/>
                <w:lang w:val="en-US" w:eastAsia="zh-CN"/>
              </w:rPr>
              <w:t>D</w:t>
            </w:r>
          </w:p>
        </w:tc>
        <w:tc>
          <w:tcPr>
            <w:tcW w:w="737" w:type="dxa"/>
          </w:tcPr>
          <w:p>
            <w:pPr>
              <w:pStyle w:val="2"/>
              <w:jc w:val="center"/>
              <w:rPr>
                <w:rFonts w:hint="default"/>
                <w:sz w:val="24"/>
                <w:szCs w:val="28"/>
                <w:vertAlign w:val="baseline"/>
                <w:lang w:val="en-US" w:eastAsia="zh-CN"/>
              </w:rPr>
            </w:pPr>
            <w:r>
              <w:rPr>
                <w:rFonts w:hint="eastAsia"/>
                <w:sz w:val="24"/>
                <w:szCs w:val="28"/>
                <w:vertAlign w:val="baseline"/>
                <w:lang w:val="en-US" w:eastAsia="zh-CN"/>
              </w:rPr>
              <w:t>C</w:t>
            </w:r>
          </w:p>
        </w:tc>
        <w:tc>
          <w:tcPr>
            <w:tcW w:w="737" w:type="dxa"/>
          </w:tcPr>
          <w:p>
            <w:pPr>
              <w:pStyle w:val="2"/>
              <w:jc w:val="center"/>
              <w:rPr>
                <w:rFonts w:hint="default"/>
                <w:sz w:val="24"/>
                <w:szCs w:val="28"/>
                <w:vertAlign w:val="baseline"/>
                <w:lang w:val="en-US" w:eastAsia="zh-CN"/>
              </w:rPr>
            </w:pPr>
            <w:r>
              <w:rPr>
                <w:rFonts w:hint="eastAsia"/>
                <w:sz w:val="24"/>
                <w:szCs w:val="28"/>
                <w:vertAlign w:val="baseline"/>
                <w:lang w:val="en-US" w:eastAsia="zh-CN"/>
              </w:rPr>
              <w:t>C</w:t>
            </w:r>
          </w:p>
        </w:tc>
      </w:tr>
    </w:tbl>
    <w:p>
      <w:pPr>
        <w:jc w:val="left"/>
        <w:textAlignment w:val="center"/>
        <w:rPr>
          <w:rFonts w:hint="eastAsia" w:ascii="宋体" w:hAnsi="宋体" w:cs="宋体"/>
          <w:bCs/>
          <w:lang w:val="en-US" w:eastAsia="zh-CN"/>
        </w:rPr>
      </w:pPr>
      <w:bookmarkStart w:id="0" w:name="_GoBack"/>
      <w:bookmarkEnd w:id="0"/>
      <w:r>
        <w:rPr>
          <w:rFonts w:hint="eastAsia" w:ascii="宋体" w:hAnsi="宋体" w:cs="宋体"/>
          <w:bCs/>
          <w:lang w:val="en-US" w:eastAsia="zh-CN"/>
        </w:rPr>
        <w:t>12.</w:t>
      </w:r>
      <w:r>
        <w:rPr>
          <w:rFonts w:hint="eastAsia" w:ascii="宋体" w:hAnsi="宋体" w:cs="宋体"/>
          <w:bCs/>
        </w:rPr>
        <w:t>【答案】B【解析】本题主要考查学生对供求理论的掌握情况。根据题意，灾害发生后，若政府不加以干预，K的需求曲线D将平移至D′，供给曲线S将平移至S′，从而导致市场均衡价格由P0上涨至P1。政府此时对K产品实行限价是为了防止K的市场价格过高而损害消费者利益，因此政府规定的最高价格P应低于市场均衡价P1，只有这样才能达到政府限价的目的，故B项是正确的，其他选项均不符合题意。</w:t>
      </w:r>
      <w:r>
        <w:rPr>
          <w:rFonts w:hint="eastAsia" w:ascii="宋体" w:hAnsi="宋体" w:cs="宋体"/>
          <w:bCs/>
          <w:lang w:val="en-US" w:eastAsia="zh-CN"/>
        </w:rPr>
        <w:t xml:space="preserve"> </w:t>
      </w:r>
    </w:p>
    <w:p>
      <w:pPr>
        <w:jc w:val="left"/>
        <w:textAlignment w:val="center"/>
        <w:rPr>
          <w:rFonts w:hint="eastAsia" w:ascii="宋体" w:hAnsi="宋体" w:cs="宋体"/>
          <w:bCs/>
        </w:rPr>
      </w:pPr>
      <w:r>
        <w:rPr>
          <w:rFonts w:hint="eastAsia" w:ascii="宋体" w:hAnsi="宋体" w:cs="宋体"/>
          <w:bCs/>
          <w:lang w:val="en-US" w:eastAsia="zh-CN"/>
        </w:rPr>
        <w:t>16.</w:t>
      </w:r>
      <w:r>
        <w:rPr>
          <w:rFonts w:hint="eastAsia" w:ascii="宋体" w:hAnsi="宋体" w:cs="宋体"/>
          <w:bCs/>
        </w:rPr>
        <w:t>答案　C</w:t>
      </w:r>
      <w:r>
        <w:rPr>
          <w:rFonts w:hint="eastAsia" w:ascii="宋体" w:hAnsi="宋体" w:cs="宋体"/>
          <w:bCs/>
          <w:lang w:val="en-US" w:eastAsia="zh-CN"/>
        </w:rPr>
        <w:t xml:space="preserve"> </w:t>
      </w:r>
      <w:r>
        <w:rPr>
          <w:rFonts w:hint="eastAsia" w:ascii="宋体" w:hAnsi="宋体" w:cs="宋体"/>
          <w:bCs/>
        </w:rPr>
        <w:t>解析　进行执法检查，与政府决策无关，①排除。执法检查属于人大的监督权，而不是立法权，而且扩大人大的立法权的说法错误，④排除。</w:t>
      </w:r>
    </w:p>
    <w:p>
      <w:pPr>
        <w:jc w:val="left"/>
        <w:textAlignment w:val="center"/>
        <w:rPr>
          <w:rFonts w:hint="eastAsia" w:ascii="宋体" w:hAnsi="宋体" w:cs="宋体"/>
          <w:bCs/>
        </w:rPr>
      </w:pPr>
      <w:r>
        <w:rPr>
          <w:rFonts w:hint="eastAsia" w:ascii="宋体" w:hAnsi="宋体" w:cs="宋体"/>
          <w:bCs/>
          <w:lang w:val="en-US" w:eastAsia="zh-CN"/>
        </w:rPr>
        <w:t>17.</w:t>
      </w:r>
      <w:r>
        <w:rPr>
          <w:rFonts w:hint="eastAsia" w:ascii="宋体" w:hAnsi="宋体" w:cs="宋体"/>
          <w:bCs/>
        </w:rPr>
        <w:t>答案　D</w:t>
      </w:r>
      <w:r>
        <w:rPr>
          <w:rFonts w:hint="eastAsia" w:ascii="宋体" w:hAnsi="宋体" w:cs="宋体"/>
          <w:bCs/>
          <w:lang w:val="en-US" w:eastAsia="zh-CN"/>
        </w:rPr>
        <w:t xml:space="preserve">  </w:t>
      </w:r>
      <w:r>
        <w:rPr>
          <w:rFonts w:hint="eastAsia" w:ascii="宋体" w:hAnsi="宋体" w:cs="宋体"/>
          <w:bCs/>
        </w:rPr>
        <w:t>解析　宁夏各地宗教界人士和信教群众开展的各项活动中，核心价值观的宣传教育与宗教活动实现了有机融合，这说明要坚持我国宗教的中国化方向，宗教能够与社会主义社会相适应，②④正确。①在材料中没有体现。信教群众的宗教信仰没有转变，③错误。</w:t>
      </w:r>
    </w:p>
    <w:p>
      <w:pPr>
        <w:jc w:val="left"/>
        <w:textAlignment w:val="center"/>
        <w:rPr>
          <w:rFonts w:hint="eastAsia" w:ascii="宋体" w:hAnsi="宋体" w:cs="宋体"/>
          <w:bCs/>
        </w:rPr>
      </w:pPr>
      <w:r>
        <w:rPr>
          <w:rFonts w:hint="eastAsia" w:ascii="宋体" w:hAnsi="宋体" w:cs="宋体"/>
          <w:bCs/>
          <w:lang w:val="en-US" w:eastAsia="zh-CN"/>
        </w:rPr>
        <w:t>18.</w:t>
      </w:r>
      <w:r>
        <w:rPr>
          <w:rFonts w:hint="eastAsia" w:ascii="宋体" w:hAnsi="宋体" w:cs="宋体"/>
          <w:bCs/>
        </w:rPr>
        <w:t>答案　B解析　②错误，盲目实现自身利益最大化可能损害国际公平正义。④错误，要建立国际政治经济新秩序。</w:t>
      </w:r>
    </w:p>
    <w:p>
      <w:pPr>
        <w:jc w:val="left"/>
        <w:textAlignment w:val="center"/>
        <w:rPr>
          <w:rFonts w:hint="eastAsia" w:ascii="宋体" w:hAnsi="宋体" w:cs="宋体"/>
          <w:bCs/>
        </w:rPr>
      </w:pPr>
      <w:r>
        <w:rPr>
          <w:rFonts w:hint="eastAsia" w:ascii="宋体" w:hAnsi="宋体" w:cs="宋体"/>
          <w:bCs/>
          <w:lang w:val="en-US" w:eastAsia="zh-CN"/>
        </w:rPr>
        <w:t>19.</w:t>
      </w:r>
      <w:r>
        <w:rPr>
          <w:rFonts w:hint="eastAsia" w:ascii="宋体" w:hAnsi="宋体" w:cs="宋体"/>
          <w:bCs/>
        </w:rPr>
        <w:t xml:space="preserve"> 【答案】D 【解析】②④：第三次分配是建立在志愿性的基础上，以募集，自愿捐赠和自主等慈善公益方式对社会资源和社会财富进行的分派，它依靠"精神力量"，奉行"道德原则"。第三次分配主要是对前两种分配的补充，对缩小社会差距，实现更合理的收入分配和公平有重要意义。大力发掘和弘扬仁爱、互助等传统美德，把现代慈善理念列为公民德育重要内容，有利于发展慈善等社公益事业，②④符合题意。</w:t>
      </w:r>
    </w:p>
    <w:p>
      <w:pPr>
        <w:jc w:val="left"/>
        <w:textAlignment w:val="center"/>
        <w:rPr>
          <w:rFonts w:hint="eastAsia" w:ascii="宋体" w:hAnsi="宋体" w:cs="宋体"/>
          <w:bCs/>
          <w:lang w:eastAsia="zh-CN"/>
        </w:rPr>
      </w:pPr>
      <w:r>
        <w:rPr>
          <w:rFonts w:hint="eastAsia" w:ascii="宋体" w:hAnsi="宋体" w:cs="宋体"/>
          <w:bCs/>
          <w:lang w:val="en-US" w:eastAsia="zh-CN"/>
        </w:rPr>
        <w:t>38.</w:t>
      </w:r>
      <w:r>
        <w:rPr>
          <w:rFonts w:hint="eastAsia" w:ascii="宋体" w:hAnsi="宋体" w:cs="宋体"/>
          <w:bCs/>
        </w:rPr>
        <w:t>（1）材料一体现了我国规模以上工业企业平稳发展,其中高技术制造业和装备制造业发展较快,我国制造业转型升级步伐加快。</w:t>
      </w:r>
      <w:r>
        <w:rPr>
          <w:rFonts w:hint="eastAsia" w:ascii="宋体" w:hAnsi="宋体" w:cs="宋体"/>
          <w:bCs/>
          <w:lang w:eastAsia="zh-CN"/>
        </w:rPr>
        <w:t>（</w:t>
      </w:r>
      <w:r>
        <w:rPr>
          <w:rFonts w:hint="eastAsia" w:ascii="宋体" w:hAnsi="宋体" w:cs="宋体"/>
          <w:bCs/>
          <w:lang w:val="en-US" w:eastAsia="zh-CN"/>
        </w:rPr>
        <w:t>4分</w:t>
      </w:r>
      <w:r>
        <w:rPr>
          <w:rFonts w:hint="eastAsia" w:ascii="宋体" w:hAnsi="宋体" w:cs="宋体"/>
          <w:bCs/>
          <w:lang w:eastAsia="zh-CN"/>
        </w:rPr>
        <w:t>）</w:t>
      </w:r>
    </w:p>
    <w:p>
      <w:pPr>
        <w:jc w:val="left"/>
        <w:textAlignment w:val="center"/>
        <w:rPr>
          <w:rFonts w:hint="eastAsia" w:ascii="宋体" w:hAnsi="宋体" w:cs="宋体"/>
          <w:bCs/>
          <w:lang w:eastAsia="zh-CN"/>
        </w:rPr>
      </w:pPr>
      <w:r>
        <w:rPr>
          <w:rFonts w:hint="eastAsia" w:ascii="宋体" w:hAnsi="宋体" w:cs="宋体"/>
          <w:bCs/>
        </w:rPr>
        <w:t>（2）①发展实体经济，筑牢现代化经济体系的坚实基础。②深化供给侧结构性改革，推动制造业发展质量变革、效率变革、动力变革,实现新旧动能转换。③提高中国制造业的自主创新能力，为建设现代化经济体系提供战略支撑。④切实降低制造业的负担,推动建立统一开放竞争有序的市场体系。⑤贯彻开放发展理念,加强制造业与国外企业的技术交流与合作,完善对外开放体系。</w:t>
      </w:r>
      <w:r>
        <w:rPr>
          <w:rFonts w:hint="eastAsia" w:ascii="宋体" w:hAnsi="宋体" w:cs="宋体"/>
          <w:bCs/>
          <w:lang w:eastAsia="zh-CN"/>
        </w:rPr>
        <w:t>（</w:t>
      </w:r>
      <w:r>
        <w:rPr>
          <w:rFonts w:hint="eastAsia" w:ascii="宋体" w:hAnsi="宋体" w:cs="宋体"/>
          <w:bCs/>
          <w:lang w:val="en-US" w:eastAsia="zh-CN"/>
        </w:rPr>
        <w:t>每要点2分，共10分</w:t>
      </w:r>
      <w:r>
        <w:rPr>
          <w:rFonts w:hint="eastAsia" w:ascii="宋体" w:hAnsi="宋体" w:cs="宋体"/>
          <w:bCs/>
          <w:lang w:eastAsia="zh-CN"/>
        </w:rPr>
        <w:t>）</w:t>
      </w:r>
    </w:p>
    <w:p>
      <w:pPr>
        <w:jc w:val="left"/>
        <w:textAlignment w:val="center"/>
        <w:rPr>
          <w:rFonts w:hint="eastAsia" w:ascii="宋体" w:hAnsi="宋体" w:cs="宋体"/>
          <w:bCs/>
          <w:lang w:eastAsia="zh-CN"/>
        </w:rPr>
      </w:pPr>
      <w:r>
        <w:rPr>
          <w:rFonts w:hint="eastAsia" w:ascii="宋体" w:hAnsi="宋体" w:cs="宋体"/>
          <w:bCs/>
          <w:lang w:val="en-US" w:eastAsia="zh-CN"/>
        </w:rPr>
        <w:t>39.</w:t>
      </w:r>
      <w:r>
        <w:rPr>
          <w:rFonts w:hint="eastAsia" w:ascii="宋体" w:hAnsi="宋体" w:cs="宋体"/>
          <w:bCs/>
        </w:rPr>
        <w:t>①中国共产党领导是中国最高政治领导力量，坚持党对一切工作的领导，科学部署疫情防控工作，完善重大疫情防控体制机制，健全国家公共卫生应急管理体系，发挥党总揽全局协调各方的领导核心作用。②全面依法治国是中国特色社会主义的本质要求和重要保障，坚持把党的领导贯彻落实到全面依法治国全过程和各方面，在法治轨道上统筹推进各项防控工作，依法依规做好疫情防控，为疫情防控提供有力法治保障。③坚持党以人民为中心的发展思想，把人民利益摆在至高无上的地位，高度重视人民群众生命安全和身体健康，紧紧依靠人民群众坚决打赢疫情防控阻击战，实现最广大人民的根本利益。④充分发挥基层党组织的战斗堡垒作用和党员的先锋模范作用，带领人民积极展开防控阻击战，确保疫情防控取得各项胜利。</w:t>
      </w:r>
      <w:r>
        <w:rPr>
          <w:rFonts w:hint="eastAsia" w:ascii="宋体" w:hAnsi="宋体" w:cs="宋体"/>
          <w:bCs/>
          <w:lang w:eastAsia="zh-CN"/>
        </w:rPr>
        <w:t>（</w:t>
      </w:r>
      <w:r>
        <w:rPr>
          <w:rFonts w:hint="eastAsia" w:ascii="宋体" w:hAnsi="宋体" w:cs="宋体"/>
          <w:bCs/>
          <w:lang w:val="en-US" w:eastAsia="zh-CN"/>
        </w:rPr>
        <w:t>每要点3分</w:t>
      </w:r>
      <w:r>
        <w:rPr>
          <w:rFonts w:hint="eastAsia" w:ascii="宋体" w:hAnsi="宋体" w:cs="宋体"/>
          <w:bCs/>
          <w:lang w:eastAsia="zh-CN"/>
        </w:rPr>
        <w:t>）</w:t>
      </w:r>
    </w:p>
    <w:p>
      <w:pPr>
        <w:jc w:val="left"/>
        <w:textAlignment w:val="center"/>
        <w:rPr>
          <w:rFonts w:hint="eastAsia" w:ascii="宋体" w:hAnsi="宋体" w:cs="宋体"/>
          <w:bCs/>
          <w:lang w:eastAsia="zh-CN"/>
        </w:rPr>
      </w:pPr>
      <w:r>
        <w:rPr>
          <w:rFonts w:hint="eastAsia" w:ascii="宋体" w:hAnsi="宋体" w:cs="宋体"/>
          <w:bCs/>
          <w:lang w:val="en-US" w:eastAsia="zh-CN"/>
        </w:rPr>
        <w:t>40.</w:t>
      </w:r>
      <w:r>
        <w:rPr>
          <w:rFonts w:hint="eastAsia" w:ascii="宋体" w:hAnsi="宋体" w:cs="宋体"/>
          <w:bCs/>
        </w:rPr>
        <w:t>答案：(1)价值观是人生的重要导向。于敏立志报国，在正确价值观的引领下实现了人生价值。(3分)在劳动和奉献中创造价值。于敏隐姓埋名，默默从事理论物理研究，为民族自立和国家强盛作出了贡献。(3分)在个人与社会的统一中实现价值。于敏正确处理了个人追求与国家需要的关系，在献身国防、报效国家的过程中实现了人生价值。(4分)</w:t>
      </w:r>
      <w:r>
        <w:rPr>
          <w:rFonts w:hint="eastAsia" w:ascii="宋体" w:hAnsi="宋体" w:cs="宋体"/>
          <w:bCs/>
        </w:rPr>
        <w:br w:type="textWrapping"/>
      </w:r>
      <w:r>
        <w:rPr>
          <w:rFonts w:hint="eastAsia" w:ascii="宋体" w:hAnsi="宋体" w:cs="宋体"/>
          <w:bCs/>
        </w:rPr>
        <w:t>(2)社会主义核心价值观体现社会主义本质要求。弘扬社会主义核心价值观能够引领社会思湖，凝聚社会共识，增强人民担负起民族复兴的责任意识与使命意识。(4分)社会主义核心价值观是中国精神的集中体现，凝结着全体人民共同的价值追求。弘扬社会主义核心价值观有利于把个人的前途命运同国家民族前途命运紧紧联系在一起，培育有中国精神和中国情怀的时代新人。(3分)培育新时代新人就要把社会主义核心价值观作为凝魂聚气，强基固本的基础工程。弘扬社会主义核心价值观能够引导人们树立正确的世界观、人生观和价值观，促进人的全面发展。(3分)</w:t>
      </w:r>
      <w:r>
        <w:rPr>
          <w:rFonts w:hint="eastAsia" w:ascii="宋体" w:hAnsi="宋体" w:cs="宋体"/>
          <w:bCs/>
        </w:rPr>
        <w:br w:type="textWrapping"/>
      </w:r>
      <w:r>
        <w:rPr>
          <w:rFonts w:hint="eastAsia" w:ascii="宋体" w:hAnsi="宋体" w:cs="宋体"/>
          <w:bCs/>
        </w:rPr>
        <w:t>(3)答案示例:胸怀远大理想，实干报效祖国;青春在于奋斗，奋斗的青春最美丽:弘扬奋斗精神，在奋斗中提升自我。(每点2分，共6分。其他角度作答，言之成理，酌情给分</w:t>
      </w:r>
      <w:r>
        <w:rPr>
          <w:rFonts w:hint="eastAsia" w:ascii="宋体" w:hAnsi="宋体" w:cs="宋体"/>
          <w:bCs/>
          <w:lang w:eastAsia="zh-CN"/>
        </w:rPr>
        <w:t>）</w:t>
      </w:r>
    </w:p>
    <w:sectPr>
      <w:pgSz w:w="11906" w:h="16838"/>
      <w:pgMar w:top="1043" w:right="1066" w:bottom="873" w:left="1066"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6115FB"/>
    <w:rsid w:val="41291B6C"/>
    <w:rsid w:val="46C2433B"/>
    <w:rsid w:val="4F985150"/>
    <w:rsid w:val="4FE632B5"/>
    <w:rsid w:val="51135C03"/>
    <w:rsid w:val="6DBB75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dell</dc:creator>
  <cp:lastModifiedBy>dell</cp:lastModifiedBy>
  <dcterms:modified xsi:type="dcterms:W3CDTF">2020-06-21T13:44:21Z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