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'1.0' encoding='UTF-8' standalone='yes'?>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10782300</wp:posOffset>
            </wp:positionV>
            <wp:extent cx="419100" cy="419100"/>
            <wp:effectExtent l="0" t="0" r="7620" b="7620"/>
            <wp:wrapNone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32"/>
        </w:rPr>
        <w:t>2023—2024学年度第一学段检测</w:t>
      </w:r>
    </w:p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高三地理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注意事项：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1．答题前，考生先将自己的姓名、考生号、座号填写在相应位置。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2．选择题答案必须使用2B铅笔（按填涂样例）正确填涂；非选择题答案必须使用0．5毫米的黑色签字笔书写，绘图时，可用2B铅笔作答，字体工整，笔迹清楚。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3．请按照题号在各题目的答题区域内作答，超出答题区域书写的答案无效；在草稿纸、试题卷上答题无效。保持卡面清洁，不折叠，不破损。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一、选择题（本题共15小题，每小题3分，共45分。每小题只有一个选项符合题目要求）</w:t>
      </w:r>
    </w:p>
    <w:p>
      <w:pPr>
        <w:spacing w:line="360" w:lineRule="auto"/>
        <w:ind w:firstLine="420"/>
        <w:jc w:val="left"/>
      </w:pPr>
      <w:r>
        <w:rPr>
          <w:rFonts w:ascii="楷体" w:hAnsi="楷体" w:eastAsia="楷体" w:cs="楷体"/>
          <w:color w:val="auto"/>
        </w:rPr>
        <w:t>烟台某中学课堂上，阳光透过窗户照在黑板上，教师用粉笔努力追光，图为黑板上的光影轨迹。完成下面小题。</w:t>
      </w:r>
    </w:p>
    <w:p>
      <w:pPr>
        <w:spacing w:line="360" w:lineRule="auto"/>
        <w:jc w:val="left"/>
      </w:pPr>
      <w:r>
        <w:drawing>
          <wp:inline distT="0" distB="0" distL="114300" distR="114300">
            <wp:extent cx="4943475" cy="1885950"/>
            <wp:effectExtent l="0" t="0" r="9525" b="381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1. </w:t>
      </w:r>
      <w:r>
        <w:rPr>
          <w:rFonts w:ascii="宋体" w:hAnsi="宋体" w:eastAsia="宋体" w:cs="宋体"/>
          <w:color w:val="auto"/>
        </w:rPr>
        <w:t>根据图示黑板上的光影移动轨迹，推测烟台此时</w:t>
      </w:r>
      <w:r>
        <w:rPr>
          <w:rFonts w:ascii="楷体" w:hAnsi="楷体" w:eastAsia="楷体" w:cs="楷体"/>
          <w:color w:val="auto"/>
        </w:rPr>
        <w:t>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hAnsi="宋体" w:eastAsia="宋体" w:cs="宋体"/>
          <w:color w:val="auto"/>
        </w:rPr>
        <w:t>旭日东升</w:t>
      </w:r>
      <w:r>
        <w:tab/>
      </w:r>
      <w:r>
        <w:t xml:space="preserve">B. </w:t>
      </w:r>
      <w:r>
        <w:rPr>
          <w:rFonts w:ascii="宋体" w:hAnsi="宋体" w:eastAsia="宋体" w:cs="宋体"/>
          <w:color w:val="auto"/>
        </w:rPr>
        <w:t>日上中天</w:t>
      </w:r>
      <w:r>
        <w:tab/>
      </w:r>
      <w:r>
        <w:t xml:space="preserve">C. </w:t>
      </w:r>
      <w:r>
        <w:rPr>
          <w:rFonts w:ascii="宋体" w:hAnsi="宋体" w:eastAsia="宋体" w:cs="宋体"/>
          <w:color w:val="auto"/>
        </w:rPr>
        <w:t>红日西沉</w:t>
      </w:r>
      <w:r>
        <w:tab/>
      </w:r>
      <w:r>
        <w:t xml:space="preserve">D. </w:t>
      </w:r>
      <w:r>
        <w:rPr>
          <w:rFonts w:ascii="宋体" w:hAnsi="宋体" w:eastAsia="宋体" w:cs="宋体"/>
          <w:color w:val="auto"/>
        </w:rPr>
        <w:t>灯火阑珊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2. </w:t>
      </w:r>
      <w:r>
        <w:rPr>
          <w:rFonts w:ascii="宋体" w:hAnsi="宋体" w:eastAsia="宋体" w:cs="宋体"/>
          <w:color w:val="auto"/>
        </w:rPr>
        <w:t>该校学生当日观察太阳视运动轨迹投影最可能是（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drawing>
          <wp:inline distT="0" distB="0" distL="114300" distR="114300">
            <wp:extent cx="1771650" cy="1733550"/>
            <wp:effectExtent l="0" t="0" r="11430" b="381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 xml:space="preserve">B. </w:t>
      </w:r>
      <w:r>
        <w:drawing>
          <wp:inline distT="0" distB="0" distL="114300" distR="114300">
            <wp:extent cx="1771650" cy="1619250"/>
            <wp:effectExtent l="0" t="0" r="11430" b="1143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drawing>
          <wp:inline distT="0" distB="0" distL="114300" distR="114300">
            <wp:extent cx="1905000" cy="1943100"/>
            <wp:effectExtent l="0" t="0" r="0" b="762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 xml:space="preserve">D. </w:t>
      </w:r>
      <w:r>
        <w:drawing>
          <wp:inline distT="0" distB="0" distL="114300" distR="114300">
            <wp:extent cx="1771650" cy="1647825"/>
            <wp:effectExtent l="0" t="0" r="11430" b="1333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海气淡水通量,即海洋与大气界面处，单位时间内单位面积上蒸发量减去降水量的值,是街量全球大气与海洋之间水汽交换的一个重要指标。孟加拉湾雨带随季节变化而南北移动。下图示意印度洋中低纬海区表层海水多年平均盐度、海气年净淡水通量的分布。据此完成下面小题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067175" cy="2105025"/>
            <wp:effectExtent l="0" t="0" r="1905" b="1333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阿拉伯海与孟加拉湾盐度差异显著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对其影响较小的因素是（</w:t>
      </w:r>
      <w:r>
        <w:rPr>
          <w:rFonts w:ascii="Times New Roman" w:hAnsi="Times New Roman" w:eastAsia="Times New Roman" w:cs="Times New Roman"/>
          <w:color w:val="000000"/>
        </w:rPr>
        <w:t xml:space="preserve">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降水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蒸发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径流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洋流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孟加拉湾南部</w:t>
      </w:r>
      <w:r>
        <w:rPr>
          <w:rFonts w:ascii="Times New Roman" w:hAnsi="Times New Roman" w:eastAsia="Times New Roman" w:cs="Times New Roman"/>
          <w:color w:val="000000"/>
        </w:rPr>
        <w:t>10-12</w:t>
      </w:r>
      <w:r>
        <w:rPr>
          <w:rFonts w:ascii="宋体" w:hAnsi="宋体" w:eastAsia="宋体" w:cs="宋体"/>
          <w:color w:val="000000"/>
        </w:rPr>
        <w:t>月盐度降低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其主要原因是该海域此时段（</w:t>
      </w:r>
      <w:r>
        <w:rPr>
          <w:rFonts w:ascii="Times New Roman" w:hAnsi="Times New Roman" w:eastAsia="Times New Roman" w:cs="Times New Roman"/>
          <w:color w:val="000000"/>
        </w:rPr>
        <w:t xml:space="preserve">   </w:t>
      </w:r>
      <w:r>
        <w:rPr>
          <w:rFonts w:ascii="宋体" w:hAnsi="宋体" w:eastAsia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①</w:t>
      </w:r>
      <w:r>
        <w:rPr>
          <w:rFonts w:ascii="宋体" w:hAnsi="宋体" w:eastAsia="宋体" w:cs="宋体"/>
          <w:color w:val="000000"/>
        </w:rPr>
        <w:t>雨带南移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降水增多</w:t>
      </w: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东北季风强盛</w:t>
      </w:r>
      <w:r>
        <w:rPr>
          <w:rFonts w:ascii="Times New Roman" w:hAnsi="Times New Roman" w:eastAsia="Times New Roman" w:cs="Times New Roman"/>
          <w:color w:val="000000"/>
        </w:rPr>
        <w:t>③</w:t>
      </w:r>
      <w:r>
        <w:rPr>
          <w:rFonts w:ascii="宋体" w:hAnsi="宋体" w:eastAsia="宋体" w:cs="宋体"/>
          <w:color w:val="000000"/>
        </w:rPr>
        <w:t>风速较小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蒸发较弱</w:t>
      </w:r>
      <w:r>
        <w:rPr>
          <w:rFonts w:ascii="Times New Roman" w:hAnsi="Times New Roman" w:eastAsia="Times New Roman" w:cs="Times New Roman"/>
          <w:color w:val="000000"/>
        </w:rPr>
        <w:t>④</w:t>
      </w:r>
      <w:r>
        <w:rPr>
          <w:rFonts w:ascii="宋体" w:hAnsi="宋体" w:eastAsia="宋体" w:cs="宋体"/>
          <w:color w:val="000000"/>
        </w:rPr>
        <w:t>西南季风强盛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①③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①④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②③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②④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推测印度洋赤道海区上空大气运动的总体特点是（</w:t>
      </w:r>
      <w:r>
        <w:rPr>
          <w:rFonts w:ascii="Times New Roman" w:hAnsi="Times New Roman" w:eastAsia="Times New Roman" w:cs="Times New Roman"/>
          <w:color w:val="000000"/>
        </w:rPr>
        <w:t xml:space="preserve">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北部上升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南部下沉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东部上升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西部下沉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北部下沉，南部上升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东部下沉，西部上升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玛旁雍错与拉昂错两湖曾经连成一体，后因山前大量的洪积物和冰碛物堆积，阻塞了河谷，才分化成为两个相对独立的内陆湖泊，仅北侧有一条窄窄的河道相通。玛旁雍错至今仍是淡水湖,被称为“圣湖”，而拉昂错湖被称为“鬼湖”。下图为玛旁雍错与拉昂错位置示意图。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467100" cy="2257425"/>
            <wp:effectExtent l="0" t="0" r="7620" b="13335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玛旁雍错至今仍是淡水湖，其主要原因可能有（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①降水量远大于蒸发量②地下水和冰雪融水补给更多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③地势高于拉昂错，湖水流出④湖底有地下暗河泄水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①②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②③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①④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③④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推测形成“圣湖”和“鬼湖”的主要影响因素是（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湖水颜色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湖水温度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湖水盐度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水体深度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孤东近岸海域位于黄河三角洲附近.该区域拥有大量土地与油气资源。是我国重要的被食产区和产油区。如图示意孤东近岸海域不同年份5m等深线变化情况。据此完成下面小题。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895725" cy="3162300"/>
            <wp:effectExtent l="0" t="0" r="5715" b="762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孤东海域岸线1976~2014年冲淤变化规律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2080" cy="167640"/>
            <wp:effectExtent l="0" t="0" r="5080" b="0"/>
            <wp:docPr id="100039" name="图片 10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2080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（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强淤积~弱淤积~弱侵蚀~强侵蚀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弱淤积~强侵蚀~弱侵蚀~强淤积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强侵蚀~弱侵蚀~弱淤积~强淤积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强侵蚀~弱淤积~强淤积~弱侵蚀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图示①~④处距黄河河口三角洲最近的位于（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100037" name="图片 10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①处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②处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③处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④处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为减缓岸线后退对油田生产的威胁，可采取的措施是（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100041" name="图片 10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黄河调水调沙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河口人工改汊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上游大坝修建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流域植树造林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温带气旋龙卷是伴随温带气旋发育的剧烈上升涡旋，常出现在锋面气旋的暖气团一侧。辽宁省是我国东北温带气旋龙卷的高发区。下图示意辽宁省温带气旋龙卷典型天气流场模型。完成下面小题。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943350" cy="3162300"/>
            <wp:effectExtent l="0" t="0" r="3810" b="762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发育温带气旋龙卷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区域（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高空气流旋转辐散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近地面气流旋转辐合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高空风速小于近地面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近地面气流顺时针运动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对图示温带气旋龙卷的形成起到关键作用的是（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暖锋北上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暖湿气流输送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冷锋南下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气旋水平移动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辽宁省是我国东北温带气旋龙卷高发区，主要是因为（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①邻近海洋②西风较强③纬度较低④冷锋频发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①②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②④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①③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③④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图为我国东部季风区某山地植被与土壤垂直分布示意图。读图，完成下面小题。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457575" cy="2238375"/>
            <wp:effectExtent l="0" t="0" r="1905" b="190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图中甲处的植被类型最有可能为（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荒漠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落叶阔叶林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草原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常绿阔叶林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该区域山地红壤肥力较低的原因是（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①气温较高，有机质分解较快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②坡度较陡，地表物质迁移快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③风化作用弱，成土母质较薄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④植被覆盖率高，枯枝落叶多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①②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③④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①④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②③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二、非选择题（本题共4小题，55分）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阅读图文材料，完成下列要求。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某学校地理研学小组为了研究某地地质构造，搜集了该地地质剖面图（如下图）。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943475" cy="2333625"/>
            <wp:effectExtent l="0" t="0" r="9525" b="1333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据图指出所示区域内力作用的表现形式，并说明判断依据。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判断图中沉积岩和岩浆岩形成的先后顺序，并说明理由。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阅读图文资料，完成下列要求。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卡奔塔利亚湾地处澳大利亚北部，周边地区的气候类型为干、湿季分明的热带草原气候，卡奔塔利亚湾有著名的“牵牛花云”景观（右下图），“牵牛花云”形成于海上，呈有序的线状排列，在早晨伴随着朝霞逐渐向陆地移动，上午到达陆地上空。在伯克敦的观测表明，干季少见“牵牛花云”登陆的现象。左下图示意常出现“牵牛花云”现象的地理位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990850" cy="1924050"/>
            <wp:effectExtent l="0" t="0" r="11430" b="1143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drawing>
          <wp:inline distT="0" distB="0" distL="114300" distR="114300">
            <wp:extent cx="2381250" cy="1657350"/>
            <wp:effectExtent l="0" t="0" r="11430" b="381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用箭头绘出卡奔塔利亚湾湿季盛行风向，说明其成因与冷暖干湿性质。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分析干季不易出现“牵牛花云”登陆现象的原因。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简析“牵牛花云”所在气团从卡奔塔利亚湾上空登陆之后性质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变化。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阅图文资料，完成下列要求。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天津市是我国冰雹灾害多发地区。研究表明，天津市冰雹的发生与强对流天气和东北冷涡活动（5-6月最活跃，易导致高空出现冷气流）密切相关。在全球气候变暖的背景下，天津市0℃等温面的高度明显抬升，这对天津市冰雹灾害的发生产生了明显的影响。左图示意1961-2020年天津市冰雹年平均日数空间分布。右图示意天津市1961-2020年各月冰雹天气出现的累计日数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755265"/>
            <wp:effectExtent l="0" t="0" r="3810" b="317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75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概括1961-2020年天津市冰雹年平均日数的空间分布特点。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指出1961-2020年天津市冰雹灾害集中出现在春末夏初的原因。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据预测未来天津市冰雹灾害总体减少，试解释原因。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阅读图文资料，完成下列要求。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科雷马河是俄罗斯西伯利亚东北部的河流，发源于科雷马山脉，全长2129km，最终注入北冰洋。上游流经山区，中游河谷展宽，多支流注入；下游进入科雷马低地，河床宽，水流平缓，多汊流，沿岸多低地沼泽。下图为科雷马河流域略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971925" cy="2295525"/>
            <wp:effectExtent l="0" t="0" r="5715" b="5715"/>
            <wp:docPr id="1122598208" name="图片 112259820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598208" name="图片 112259820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阐述科雷马河上、中、下游水流对地表形态的塑造。</w:t>
      </w:r>
    </w:p>
    <w:sectPr>
      <w:headerReference r:id="rId4" w:type="first"/>
      <w:footerReference r:id="rId7" w:type="first"/>
      <w:headerReference r:id="rId3" w:type="even"/>
      <w:footerReference r:id="rId6" w:type="even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VjYmQxNjIyN2VlYzI1NzY1NzMzYzYzMTdmYTE3OTk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15D5494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nhideWhenUsed="0" w:uiPriority="0" w:semiHidden="0" w:name="Table Subtle 1"/>
    <w:lsdException w:uiPriority="0" w:name="Table Subtle 2"/>
    <w:lsdException w:uiPriority="0" w:name="Table Web 1"/>
    <w:lsdException w:unhideWhenUsed="0" w:uiPriority="0" w:semiHidden="0" w:name="Table Web 2"/>
    <w:lsdException w:unhideWhenUsed="0" w:uiPriority="0" w:semiHidden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character" w:customStyle="1" w:styleId="7">
    <w:name w:val="页眉 字符"/>
    <w:basedOn w:val="5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'1.0' encoding='UTF-8' standalone='yes'?>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4" Type="http://schemas.openxmlformats.org/officeDocument/2006/relationships/header" Target="header2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customXml" Target="../customXml/item2.xml"/><Relationship Id="rId28" Type="http://schemas.openxmlformats.org/officeDocument/2006/relationships/customXml" Target="../customXml/item1.xml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wmf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wmf"/><Relationship Id="rId18" Type="http://schemas.openxmlformats.org/officeDocument/2006/relationships/image" Target="media/image11.wmf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5590A68-9B32-4A13-894C-0880676F012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2023-11-08T00:00:00Z</dcterms:created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