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2" Type="http://schemas.openxmlformats.org/officeDocument/2006/relationships/custom-properties" Target="docProps/custom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body>
    <w:p>
      <w:pPr>
        <w:ind w:left="726"/>
        <w:spacing w:before="97" w:line="221" w:lineRule="auto"/>
        <w:outlineLvl w:val="0"/>
        <w:rPr>
          <w:rFonts w:ascii="SimHei" w:hAnsi="SimHei" w:eastAsia="SimHei" w:cs="SimHei"/>
          <w:sz w:val="48"/>
          <w:szCs w:val="48"/>
        </w:rPr>
      </w:pPr>
      <w:r>
        <w:rPr>
          <w:rFonts w:ascii="SimHei" w:hAnsi="SimHei" w:eastAsia="SimHei" w:cs="SimHei"/>
          <w:sz w:val="48"/>
          <w:szCs w:val="48"/>
          <w:b/>
          <w:bCs/>
          <w:spacing w:val="28"/>
        </w:rPr>
        <w:t>决胜新高考——2024届年级大联考</w:t>
      </w:r>
    </w:p>
    <w:p>
      <w:pPr>
        <w:ind w:left="1926"/>
        <w:spacing w:before="327" w:line="782" w:lineRule="exact"/>
        <w:rPr>
          <w:rFonts w:ascii="SimHei" w:hAnsi="SimHei" w:eastAsia="SimHei" w:cs="SimHei"/>
          <w:sz w:val="48"/>
          <w:szCs w:val="48"/>
        </w:rPr>
      </w:pPr>
      <w:r>
        <w:rPr>
          <w:rFonts w:ascii="SimHei" w:hAnsi="SimHei" w:eastAsia="SimHei" w:cs="SimHei"/>
          <w:sz w:val="48"/>
          <w:szCs w:val="48"/>
          <w:b/>
          <w:bCs/>
          <w:spacing w:val="45"/>
          <w:position w:val="21"/>
        </w:rPr>
        <w:t>地理(参考答案及评分细则)</w:t>
      </w:r>
    </w:p>
    <w:p>
      <w:pPr>
        <w:ind w:left="4"/>
        <w:spacing w:before="1" w:line="212" w:lineRule="auto"/>
        <w:rPr>
          <w:rFonts w:ascii="SimHei" w:hAnsi="SimHei" w:eastAsia="SimHei" w:cs="SimHei"/>
          <w:sz w:val="29"/>
          <w:szCs w:val="29"/>
        </w:rPr>
      </w:pPr>
      <w:r>
        <w:rPr>
          <w:rFonts w:ascii="SimHei" w:hAnsi="SimHei" w:eastAsia="SimHei" w:cs="SimHei"/>
          <w:sz w:val="29"/>
          <w:szCs w:val="29"/>
          <w:b/>
          <w:bCs/>
          <w:spacing w:val="9"/>
        </w:rPr>
        <w:t>一、选择题：共22题，每题2分，共44分。</w:t>
      </w:r>
    </w:p>
    <w:p>
      <w:pPr>
        <w:pStyle w:val="BodyText"/>
        <w:spacing w:before="176" w:line="185" w:lineRule="auto"/>
        <w:rPr/>
      </w:pPr>
      <w:r>
        <w:rPr>
          <w:spacing w:val="-6"/>
        </w:rPr>
        <w:t>1.B</w:t>
      </w:r>
      <w:r>
        <w:rPr>
          <w:spacing w:val="15"/>
        </w:rPr>
        <w:t xml:space="preserve">     </w:t>
      </w:r>
      <w:r>
        <w:rPr>
          <w:spacing w:val="-6"/>
        </w:rPr>
        <w:t>2.C</w:t>
      </w:r>
      <w:r>
        <w:rPr>
          <w:spacing w:val="22"/>
        </w:rPr>
        <w:t xml:space="preserve">    </w:t>
      </w:r>
      <w:r>
        <w:rPr>
          <w:spacing w:val="-6"/>
        </w:rPr>
        <w:t>3.A</w:t>
      </w:r>
      <w:r>
        <w:rPr>
          <w:spacing w:val="16"/>
        </w:rPr>
        <w:t xml:space="preserve">    </w:t>
      </w:r>
      <w:r>
        <w:rPr>
          <w:spacing w:val="-6"/>
        </w:rPr>
        <w:t>4.B</w:t>
      </w:r>
      <w:r>
        <w:rPr>
          <w:spacing w:val="16"/>
        </w:rPr>
        <w:t xml:space="preserve">    </w:t>
      </w:r>
      <w:r>
        <w:rPr>
          <w:spacing w:val="-6"/>
        </w:rPr>
        <w:t>5.B</w:t>
      </w:r>
      <w:r>
        <w:rPr>
          <w:spacing w:val="18"/>
        </w:rPr>
        <w:t xml:space="preserve">    </w:t>
      </w:r>
      <w:r>
        <w:rPr>
          <w:spacing w:val="-6"/>
        </w:rPr>
        <w:t>6.A</w:t>
      </w:r>
      <w:r>
        <w:rPr>
          <w:spacing w:val="20"/>
        </w:rPr>
        <w:t xml:space="preserve">    </w:t>
      </w:r>
      <w:r>
        <w:rPr>
          <w:spacing w:val="-6"/>
        </w:rPr>
        <w:t>7.A</w:t>
      </w:r>
      <w:r>
        <w:rPr>
          <w:spacing w:val="13"/>
        </w:rPr>
        <w:t xml:space="preserve">    </w:t>
      </w:r>
      <w:r>
        <w:rPr>
          <w:spacing w:val="-6"/>
        </w:rPr>
        <w:t>8.B</w:t>
      </w:r>
      <w:r>
        <w:rPr>
          <w:spacing w:val="17"/>
        </w:rPr>
        <w:t xml:space="preserve">    </w:t>
      </w:r>
      <w:r>
        <w:rPr>
          <w:spacing w:val="-6"/>
        </w:rPr>
        <w:t>9.C</w:t>
      </w:r>
      <w:r>
        <w:rPr>
          <w:spacing w:val="14"/>
        </w:rPr>
        <w:t xml:space="preserve">   </w:t>
      </w:r>
      <w:r>
        <w:rPr>
          <w:spacing w:val="-6"/>
        </w:rPr>
        <w:t>10.D</w:t>
      </w:r>
    </w:p>
    <w:p>
      <w:pPr>
        <w:pStyle w:val="BodyText"/>
        <w:spacing w:before="170" w:line="184" w:lineRule="auto"/>
        <w:rPr/>
      </w:pPr>
      <w:r>
        <w:rPr>
          <w:spacing w:val="-8"/>
        </w:rPr>
        <w:t>11.C</w:t>
      </w:r>
      <w:r>
        <w:rPr>
          <w:spacing w:val="10"/>
        </w:rPr>
        <w:t xml:space="preserve">    </w:t>
      </w:r>
      <w:r>
        <w:rPr>
          <w:spacing w:val="-8"/>
        </w:rPr>
        <w:t>12.A    </w:t>
      </w:r>
      <w:r>
        <w:rPr>
          <w:sz w:val="23"/>
          <w:szCs w:val="23"/>
          <w:spacing w:val="-8"/>
        </w:rPr>
        <w:t>13.C</w:t>
      </w:r>
      <w:r>
        <w:rPr>
          <w:sz w:val="23"/>
          <w:szCs w:val="23"/>
          <w:spacing w:val="8"/>
        </w:rPr>
        <w:t xml:space="preserve">     </w:t>
      </w:r>
      <w:r>
        <w:rPr>
          <w:sz w:val="23"/>
          <w:szCs w:val="23"/>
          <w:spacing w:val="-8"/>
        </w:rPr>
        <w:t>14.D</w:t>
      </w:r>
      <w:r>
        <w:rPr>
          <w:sz w:val="23"/>
          <w:szCs w:val="23"/>
          <w:spacing w:val="10"/>
        </w:rPr>
        <w:t xml:space="preserve">     </w:t>
      </w:r>
      <w:r>
        <w:rPr>
          <w:spacing w:val="-8"/>
        </w:rPr>
        <w:t>15.B</w:t>
      </w:r>
      <w:r>
        <w:rPr>
          <w:spacing w:val="20"/>
        </w:rPr>
        <w:t xml:space="preserve">   </w:t>
      </w:r>
      <w:r>
        <w:rPr>
          <w:spacing w:val="-8"/>
        </w:rPr>
        <w:t>16.A</w:t>
      </w:r>
      <w:r>
        <w:rPr>
          <w:spacing w:val="23"/>
        </w:rPr>
        <w:t xml:space="preserve">   </w:t>
      </w:r>
      <w:r>
        <w:rPr>
          <w:spacing w:val="-8"/>
        </w:rPr>
        <w:t>17.C</w:t>
      </w:r>
      <w:r>
        <w:rPr>
          <w:spacing w:val="28"/>
        </w:rPr>
        <w:t xml:space="preserve">   </w:t>
      </w:r>
      <w:r>
        <w:rPr>
          <w:spacing w:val="-8"/>
        </w:rPr>
        <w:t>18.B</w:t>
      </w:r>
      <w:r>
        <w:rPr>
          <w:spacing w:val="23"/>
        </w:rPr>
        <w:t xml:space="preserve">   </w:t>
      </w:r>
      <w:r>
        <w:rPr>
          <w:spacing w:val="-8"/>
        </w:rPr>
        <w:t>19.D</w:t>
      </w:r>
      <w:r>
        <w:rPr>
          <w:spacing w:val="26"/>
        </w:rPr>
        <w:t xml:space="preserve">   </w:t>
      </w:r>
      <w:r>
        <w:rPr>
          <w:spacing w:val="-8"/>
        </w:rPr>
        <w:t>20.D</w:t>
      </w:r>
    </w:p>
    <w:p>
      <w:pPr>
        <w:pStyle w:val="BodyText"/>
        <w:spacing w:before="171" w:line="184" w:lineRule="auto"/>
        <w:rPr/>
      </w:pPr>
      <w:r>
        <w:rPr>
          <w:spacing w:val="-4"/>
        </w:rPr>
        <w:t>21.D</w:t>
      </w:r>
      <w:r>
        <w:rPr>
          <w:spacing w:val="4"/>
        </w:rPr>
        <w:t xml:space="preserve">    </w:t>
      </w:r>
      <w:r>
        <w:rPr>
          <w:spacing w:val="-4"/>
        </w:rPr>
        <w:t>22.C</w:t>
      </w:r>
    </w:p>
    <w:p>
      <w:pPr>
        <w:ind w:left="4"/>
        <w:spacing w:before="99" w:line="213" w:lineRule="auto"/>
        <w:rPr>
          <w:rFonts w:ascii="SimHei" w:hAnsi="SimHei" w:eastAsia="SimHei" w:cs="SimHei"/>
          <w:sz w:val="29"/>
          <w:szCs w:val="29"/>
        </w:rPr>
      </w:pPr>
      <w:r>
        <w:rPr>
          <w:rFonts w:ascii="SimHei" w:hAnsi="SimHei" w:eastAsia="SimHei" w:cs="SimHei"/>
          <w:sz w:val="29"/>
          <w:szCs w:val="29"/>
          <w:b/>
          <w:bCs/>
          <w:spacing w:val="17"/>
        </w:rPr>
        <w:t>二、</w:t>
      </w:r>
      <w:r>
        <w:rPr>
          <w:rFonts w:ascii="SimHei" w:hAnsi="SimHei" w:eastAsia="SimHei" w:cs="SimHei"/>
          <w:sz w:val="29"/>
          <w:szCs w:val="29"/>
          <w:spacing w:val="-46"/>
        </w:rPr>
        <w:t xml:space="preserve"> </w:t>
      </w:r>
      <w:r>
        <w:rPr>
          <w:rFonts w:ascii="SimHei" w:hAnsi="SimHei" w:eastAsia="SimHei" w:cs="SimHei"/>
          <w:sz w:val="29"/>
          <w:szCs w:val="29"/>
          <w:b/>
          <w:bCs/>
          <w:spacing w:val="17"/>
        </w:rPr>
        <w:t>非选择题：共3小题，共56分。</w:t>
      </w:r>
    </w:p>
    <w:p>
      <w:pPr>
        <w:pStyle w:val="BodyText"/>
        <w:spacing w:before="155" w:line="220" w:lineRule="auto"/>
        <w:rPr/>
      </w:pPr>
      <w:r>
        <w:rPr>
          <w:spacing w:val="17"/>
        </w:rPr>
        <w:t>23</w:t>
      </w:r>
      <w:r>
        <w:rPr>
          <w:spacing w:val="-74"/>
        </w:rPr>
        <w:t xml:space="preserve"> </w:t>
      </w:r>
      <w:r>
        <w:rPr>
          <w:spacing w:val="17"/>
        </w:rPr>
        <w:t>.</w:t>
      </w:r>
      <w:r>
        <w:rPr>
          <w:spacing w:val="-35"/>
        </w:rPr>
        <w:t xml:space="preserve"> </w:t>
      </w:r>
      <w:r>
        <w:rPr>
          <w:spacing w:val="17"/>
        </w:rPr>
        <w:t>(18分)</w:t>
      </w:r>
    </w:p>
    <w:p>
      <w:pPr>
        <w:pStyle w:val="BodyText"/>
        <w:ind w:left="179" w:right="213"/>
        <w:spacing w:before="82" w:line="250" w:lineRule="auto"/>
        <w:rPr/>
      </w:pPr>
      <w:r>
        <w:rPr>
          <w:spacing w:val="20"/>
        </w:rPr>
        <w:t>(1)径流量较小；季节变化较大/夏季较大，冬季较小；径流量增加(6分)</w:t>
      </w:r>
      <w:r>
        <w:rPr>
          <w:spacing w:val="3"/>
        </w:rPr>
        <w:t xml:space="preserve">  </w:t>
      </w:r>
      <w:r>
        <w:rPr>
          <w:spacing w:val="17"/>
        </w:rPr>
        <w:t>(2)冬季，地下水为该河主要补给类型；多年冻土退化，下渗水量增加；地</w:t>
      </w:r>
    </w:p>
    <w:p>
      <w:pPr>
        <w:pStyle w:val="BodyText"/>
        <w:spacing w:before="126" w:line="219" w:lineRule="auto"/>
        <w:rPr/>
      </w:pPr>
      <w:r>
        <w:rPr>
          <w:spacing w:val="21"/>
        </w:rPr>
        <w:t>下水量增加，冬季补给量增加(6分)</w:t>
      </w:r>
    </w:p>
    <w:p>
      <w:pPr>
        <w:pStyle w:val="BodyText"/>
        <w:ind w:left="179"/>
        <w:spacing w:before="76" w:line="219" w:lineRule="auto"/>
        <w:rPr/>
      </w:pPr>
      <w:r>
        <w:rPr>
          <w:spacing w:val="21"/>
        </w:rPr>
        <w:t>(3)生态用水增加：湿地面积增加；生物多样性恢复；土地荒漠化减轻(任</w:t>
      </w:r>
    </w:p>
    <w:p>
      <w:pPr>
        <w:pStyle w:val="BodyText"/>
        <w:spacing w:before="106" w:line="511" w:lineRule="exact"/>
        <w:rPr/>
      </w:pPr>
      <w:r>
        <w:rPr>
          <w:spacing w:val="48"/>
          <w:position w:val="16"/>
        </w:rPr>
        <w:t>答3点，得6分)</w:t>
      </w:r>
    </w:p>
    <w:p>
      <w:pPr>
        <w:pStyle w:val="BodyText"/>
        <w:spacing w:line="220" w:lineRule="auto"/>
        <w:rPr/>
      </w:pPr>
      <w:r>
        <w:rPr>
          <w:spacing w:val="17"/>
        </w:rPr>
        <w:t>24</w:t>
      </w:r>
      <w:r>
        <w:rPr>
          <w:spacing w:val="-74"/>
        </w:rPr>
        <w:t xml:space="preserve"> </w:t>
      </w:r>
      <w:r>
        <w:rPr>
          <w:spacing w:val="17"/>
        </w:rPr>
        <w:t>.</w:t>
      </w:r>
      <w:r>
        <w:rPr>
          <w:spacing w:val="-35"/>
        </w:rPr>
        <w:t xml:space="preserve"> </w:t>
      </w:r>
      <w:r>
        <w:rPr>
          <w:spacing w:val="17"/>
        </w:rPr>
        <w:t>(20分)</w:t>
      </w:r>
    </w:p>
    <w:p>
      <w:pPr>
        <w:pStyle w:val="BodyText"/>
        <w:ind w:left="179"/>
        <w:spacing w:before="72" w:line="451" w:lineRule="exact"/>
        <w:rPr/>
      </w:pPr>
      <w:r>
        <w:rPr>
          <w:spacing w:val="26"/>
          <w:position w:val="11"/>
        </w:rPr>
        <w:t>(1)采矿业、有色冶金、煤炭工业、化学工业、电力(能源)工</w:t>
      </w:r>
      <w:r>
        <w:rPr>
          <w:spacing w:val="25"/>
          <w:position w:val="11"/>
        </w:rPr>
        <w:t>业、建材工</w:t>
      </w:r>
    </w:p>
    <w:p>
      <w:pPr>
        <w:pStyle w:val="BodyText"/>
        <w:spacing w:before="1" w:line="219" w:lineRule="auto"/>
        <w:rPr/>
      </w:pPr>
      <w:r>
        <w:rPr>
          <w:spacing w:val="51"/>
        </w:rPr>
        <w:t>业(任答3点，得6分)</w:t>
      </w:r>
    </w:p>
    <w:p>
      <w:pPr>
        <w:pStyle w:val="BodyText"/>
        <w:ind w:left="4" w:right="212" w:firstLine="175"/>
        <w:spacing w:before="92" w:line="286" w:lineRule="auto"/>
        <w:rPr/>
      </w:pPr>
      <w:r>
        <w:rPr>
          <w:spacing w:val="11"/>
        </w:rPr>
        <w:t>(2)风力、太阳能等</w:t>
      </w:r>
      <w:r>
        <w:rPr>
          <w:b/>
          <w:bCs/>
          <w:spacing w:val="11"/>
        </w:rPr>
        <w:t>新能源丰富，</w:t>
      </w:r>
      <w:r>
        <w:rPr>
          <w:spacing w:val="49"/>
        </w:rPr>
        <w:t xml:space="preserve"> </w:t>
      </w:r>
      <w:r>
        <w:rPr>
          <w:spacing w:val="11"/>
        </w:rPr>
        <w:t>利于新能源</w:t>
      </w:r>
      <w:r>
        <w:rPr>
          <w:spacing w:val="10"/>
        </w:rPr>
        <w:t>相关产业发展；传统</w:t>
      </w:r>
      <w:r>
        <w:rPr>
          <w:b/>
          <w:bCs/>
          <w:spacing w:val="10"/>
        </w:rPr>
        <w:t>工业基础</w:t>
      </w:r>
      <w:r>
        <w:rPr/>
        <w:t xml:space="preserve"> </w:t>
      </w:r>
      <w:r>
        <w:rPr>
          <w:b/>
          <w:bCs/>
          <w:spacing w:val="4"/>
        </w:rPr>
        <w:t>雄</w:t>
      </w:r>
      <w:r>
        <w:rPr>
          <w:spacing w:val="-19"/>
        </w:rPr>
        <w:t xml:space="preserve"> </w:t>
      </w:r>
      <w:r>
        <w:rPr>
          <w:b/>
          <w:bCs/>
          <w:spacing w:val="4"/>
        </w:rPr>
        <w:t>厚</w:t>
      </w:r>
      <w:r>
        <w:rPr>
          <w:spacing w:val="-54"/>
        </w:rPr>
        <w:t xml:space="preserve"> </w:t>
      </w:r>
      <w:r>
        <w:rPr>
          <w:b/>
          <w:bCs/>
          <w:spacing w:val="4"/>
        </w:rPr>
        <w:t>，</w:t>
      </w:r>
      <w:r>
        <w:rPr>
          <w:spacing w:val="4"/>
        </w:rPr>
        <w:t>为装备制造、循环化工等产业打下坚实的基础；</w:t>
      </w:r>
      <w:r>
        <w:rPr>
          <w:spacing w:val="-51"/>
        </w:rPr>
        <w:t xml:space="preserve"> </w:t>
      </w:r>
      <w:r>
        <w:rPr>
          <w:b/>
          <w:bCs/>
          <w:spacing w:val="4"/>
        </w:rPr>
        <w:t>交通便利，</w:t>
      </w:r>
      <w:r>
        <w:rPr>
          <w:spacing w:val="4"/>
        </w:rPr>
        <w:t xml:space="preserve"> 利于物流</w:t>
      </w:r>
    </w:p>
    <w:p>
      <w:pPr>
        <w:pStyle w:val="BodyText"/>
        <w:spacing w:before="1" w:line="218" w:lineRule="auto"/>
        <w:rPr/>
      </w:pPr>
      <w:r>
        <w:rPr/>
        <w:t>业发展；政府</w:t>
      </w:r>
      <w:r>
        <w:rPr>
          <w:b/>
          <w:bCs/>
        </w:rPr>
        <w:t>政策帮扶、</w:t>
      </w:r>
      <w:r>
        <w:rPr/>
        <w:t>积</w:t>
      </w:r>
      <w:r>
        <w:rPr>
          <w:spacing w:val="-56"/>
        </w:rPr>
        <w:t xml:space="preserve"> </w:t>
      </w:r>
      <w:r>
        <w:rPr/>
        <w:t>极</w:t>
      </w:r>
      <w:r>
        <w:rPr>
          <w:b/>
          <w:bCs/>
        </w:rPr>
        <w:t>引进技术，</w:t>
      </w:r>
      <w:r>
        <w:rPr>
          <w:spacing w:val="49"/>
        </w:rPr>
        <w:t xml:space="preserve"> </w:t>
      </w:r>
      <w:r>
        <w:rPr/>
        <w:t>助推产业转</w:t>
      </w:r>
      <w:r>
        <w:rPr>
          <w:spacing w:val="-1"/>
        </w:rPr>
        <w:t>型；</w:t>
      </w:r>
      <w:r>
        <w:rPr>
          <w:spacing w:val="49"/>
        </w:rPr>
        <w:t xml:space="preserve"> </w:t>
      </w:r>
      <w:r>
        <w:rPr>
          <w:b/>
          <w:bCs/>
          <w:spacing w:val="-1"/>
        </w:rPr>
        <w:t>环保政策</w:t>
      </w:r>
      <w:r>
        <w:rPr>
          <w:spacing w:val="-1"/>
        </w:rPr>
        <w:t>的实施，</w:t>
      </w:r>
    </w:p>
    <w:p>
      <w:pPr>
        <w:pStyle w:val="BodyText"/>
        <w:spacing w:before="112" w:line="219" w:lineRule="auto"/>
        <w:rPr/>
      </w:pPr>
      <w:r>
        <w:rPr>
          <w:spacing w:val="25"/>
        </w:rPr>
        <w:t>助力产业绿色发展；(任答4点，得8分)</w:t>
      </w:r>
    </w:p>
    <w:p>
      <w:pPr>
        <w:ind w:left="359"/>
        <w:spacing w:before="88" w:line="223" w:lineRule="auto"/>
        <w:rPr>
          <w:rFonts w:ascii="KaiTi" w:hAnsi="KaiTi" w:eastAsia="KaiTi" w:cs="KaiTi"/>
          <w:sz w:val="29"/>
          <w:szCs w:val="29"/>
        </w:rPr>
      </w:pPr>
      <w:r>
        <w:rPr>
          <w:rFonts w:ascii="KaiTi" w:hAnsi="KaiTi" w:eastAsia="KaiTi" w:cs="KaiTi"/>
          <w:sz w:val="29"/>
          <w:szCs w:val="29"/>
          <w:spacing w:val="-2"/>
        </w:rPr>
        <w:t>评分建议：政策帮扶与环保政策不重复得分</w:t>
      </w:r>
    </w:p>
    <w:p>
      <w:pPr>
        <w:pStyle w:val="BodyText"/>
        <w:ind w:firstLine="179"/>
        <w:spacing w:before="72" w:line="288" w:lineRule="auto"/>
        <w:jc w:val="both"/>
        <w:rPr/>
      </w:pPr>
      <w:r>
        <w:rPr>
          <w:spacing w:val="3"/>
        </w:rPr>
        <w:t>(3) </w:t>
      </w:r>
      <w:r>
        <w:rPr>
          <w:b/>
          <w:bCs/>
          <w:spacing w:val="3"/>
        </w:rPr>
        <w:t>传统产业进行技术改造</w:t>
      </w:r>
      <w:r>
        <w:rPr>
          <w:spacing w:val="3"/>
        </w:rPr>
        <w:t>.提升产品竞争力； </w:t>
      </w:r>
      <w:r>
        <w:rPr>
          <w:b/>
          <w:bCs/>
          <w:spacing w:val="3"/>
        </w:rPr>
        <w:t>延长产业链，</w:t>
      </w:r>
      <w:r>
        <w:rPr>
          <w:spacing w:val="59"/>
        </w:rPr>
        <w:t xml:space="preserve"> </w:t>
      </w:r>
      <w:r>
        <w:rPr>
          <w:spacing w:val="3"/>
        </w:rPr>
        <w:t>发展循环经济，</w:t>
      </w:r>
      <w:r>
        <w:rPr/>
        <w:t xml:space="preserve"> </w:t>
      </w:r>
      <w:r>
        <w:rPr>
          <w:spacing w:val="4"/>
        </w:rPr>
        <w:t>提高附加值；增强</w:t>
      </w:r>
      <w:r>
        <w:rPr>
          <w:b/>
          <w:bCs/>
          <w:spacing w:val="4"/>
        </w:rPr>
        <w:t>产业协作，</w:t>
      </w:r>
      <w:r>
        <w:rPr>
          <w:spacing w:val="-31"/>
        </w:rPr>
        <w:t xml:space="preserve"> </w:t>
      </w:r>
      <w:r>
        <w:rPr>
          <w:spacing w:val="4"/>
        </w:rPr>
        <w:t>提高</w:t>
      </w:r>
      <w:r>
        <w:rPr>
          <w:b/>
          <w:bCs/>
          <w:spacing w:val="4"/>
        </w:rPr>
        <w:t>产业集聚</w:t>
      </w:r>
      <w:r>
        <w:rPr>
          <w:spacing w:val="3"/>
        </w:rPr>
        <w:t>效益； </w:t>
      </w:r>
      <w:r>
        <w:rPr>
          <w:b/>
          <w:bCs/>
          <w:spacing w:val="3"/>
        </w:rPr>
        <w:t>增加产业门类/发展新兴产</w:t>
      </w:r>
    </w:p>
    <w:p>
      <w:pPr>
        <w:pStyle w:val="BodyText"/>
        <w:ind w:left="4"/>
        <w:spacing w:before="1" w:line="219" w:lineRule="auto"/>
        <w:rPr/>
      </w:pPr>
      <w:r>
        <w:rPr>
          <w:b/>
          <w:bCs/>
          <w:spacing w:val="29"/>
        </w:rPr>
        <w:t>业</w:t>
      </w:r>
      <w:r>
        <w:rPr>
          <w:spacing w:val="-35"/>
        </w:rPr>
        <w:t xml:space="preserve"> </w:t>
      </w:r>
      <w:r>
        <w:rPr>
          <w:b/>
          <w:bCs/>
          <w:spacing w:val="29"/>
        </w:rPr>
        <w:t>，</w:t>
      </w:r>
      <w:r>
        <w:rPr>
          <w:spacing w:val="29"/>
        </w:rPr>
        <w:t>优化产业结构(任答3点，得6分)</w:t>
      </w:r>
    </w:p>
    <w:p>
      <w:pPr>
        <w:pStyle w:val="BodyText"/>
        <w:spacing w:before="166" w:line="220" w:lineRule="auto"/>
        <w:rPr/>
      </w:pPr>
      <w:r>
        <w:rPr>
          <w:spacing w:val="17"/>
        </w:rPr>
        <w:t>25</w:t>
      </w:r>
      <w:r>
        <w:rPr>
          <w:spacing w:val="-74"/>
        </w:rPr>
        <w:t xml:space="preserve"> </w:t>
      </w:r>
      <w:r>
        <w:rPr>
          <w:spacing w:val="17"/>
        </w:rPr>
        <w:t>.</w:t>
      </w:r>
      <w:r>
        <w:rPr>
          <w:spacing w:val="-35"/>
        </w:rPr>
        <w:t xml:space="preserve"> </w:t>
      </w:r>
      <w:r>
        <w:rPr>
          <w:spacing w:val="17"/>
        </w:rPr>
        <w:t>(18分)</w:t>
      </w:r>
    </w:p>
    <w:p>
      <w:pPr>
        <w:pStyle w:val="BodyText"/>
        <w:ind w:left="489"/>
        <w:spacing w:before="83" w:line="454" w:lineRule="exact"/>
        <w:rPr/>
      </w:pPr>
      <w:r>
        <w:rPr>
          <w:spacing w:val="25"/>
          <w:position w:val="11"/>
        </w:rPr>
        <w:t>(1)北部为地中海气候；南部为热带沙漠气候(2 分)北部较南部年均温</w:t>
      </w:r>
    </w:p>
    <w:p>
      <w:pPr>
        <w:pStyle w:val="BodyText"/>
        <w:spacing w:before="1" w:line="222" w:lineRule="auto"/>
        <w:rPr>
          <w:rFonts w:ascii="KaiTi" w:hAnsi="KaiTi" w:eastAsia="KaiTi" w:cs="KaiTi"/>
        </w:rPr>
      </w:pPr>
      <w:r>
        <w:rPr>
          <w:spacing w:val="31"/>
        </w:rPr>
        <w:t>低；年温差大(2分);年降水量大；季节</w:t>
      </w:r>
      <w:r>
        <w:rPr>
          <w:spacing w:val="30"/>
        </w:rPr>
        <w:t>变化大(2分)</w:t>
      </w:r>
      <w:r>
        <w:rPr>
          <w:rFonts w:ascii="KaiTi" w:hAnsi="KaiTi" w:eastAsia="KaiTi" w:cs="KaiTi"/>
          <w:spacing w:val="30"/>
        </w:rPr>
        <w:t>评分建议：1点1分</w:t>
      </w:r>
    </w:p>
    <w:p>
      <w:pPr>
        <w:pStyle w:val="BodyText"/>
        <w:ind w:left="179"/>
        <w:spacing w:before="72" w:line="471" w:lineRule="exact"/>
        <w:rPr/>
      </w:pPr>
      <w:r>
        <w:rPr>
          <w:spacing w:val="28"/>
          <w:position w:val="13"/>
        </w:rPr>
        <w:t>(2)该国中部地处</w:t>
      </w:r>
      <w:r>
        <w:rPr>
          <w:b/>
          <w:bCs/>
          <w:spacing w:val="28"/>
          <w:position w:val="13"/>
        </w:rPr>
        <w:t>干湿交替带(农牧交错带、沙</w:t>
      </w:r>
      <w:r>
        <w:rPr>
          <w:b/>
          <w:bCs/>
          <w:spacing w:val="27"/>
          <w:position w:val="13"/>
        </w:rPr>
        <w:t>漠边缘):生态系统稳定性</w:t>
      </w:r>
    </w:p>
    <w:p>
      <w:pPr>
        <w:pStyle w:val="BodyText"/>
        <w:ind w:left="4"/>
        <w:spacing w:line="219" w:lineRule="auto"/>
        <w:rPr/>
      </w:pPr>
      <w:r>
        <w:rPr>
          <w:b/>
          <w:bCs/>
          <w:spacing w:val="-5"/>
        </w:rPr>
        <w:t>较差；</w:t>
      </w:r>
      <w:r>
        <w:rPr>
          <w:spacing w:val="89"/>
        </w:rPr>
        <w:t xml:space="preserve"> </w:t>
      </w:r>
      <w:r>
        <w:rPr>
          <w:spacing w:val="-5"/>
        </w:rPr>
        <w:t>南部为沙漠地区，植被稀少， </w:t>
      </w:r>
      <w:r>
        <w:rPr>
          <w:b/>
          <w:bCs/>
          <w:spacing w:val="-5"/>
        </w:rPr>
        <w:t>生态系统修复能力差</w:t>
      </w:r>
      <w:r>
        <w:rPr>
          <w:spacing w:val="-37"/>
        </w:rPr>
        <w:t xml:space="preserve"> </w:t>
      </w:r>
      <w:r>
        <w:rPr>
          <w:spacing w:val="-5"/>
        </w:rPr>
        <w:t>(</w:t>
      </w:r>
      <w:r>
        <w:rPr>
          <w:spacing w:val="-58"/>
        </w:rPr>
        <w:t xml:space="preserve"> </w:t>
      </w:r>
      <w:r>
        <w:rPr>
          <w:spacing w:val="-5"/>
        </w:rPr>
        <w:t>6</w:t>
      </w:r>
      <w:r>
        <w:rPr>
          <w:spacing w:val="-56"/>
        </w:rPr>
        <w:t xml:space="preserve"> </w:t>
      </w:r>
      <w:r>
        <w:rPr>
          <w:spacing w:val="-5"/>
        </w:rPr>
        <w:t>分</w:t>
      </w:r>
      <w:r>
        <w:rPr>
          <w:spacing w:val="-59"/>
        </w:rPr>
        <w:t xml:space="preserve"> </w:t>
      </w:r>
      <w:r>
        <w:rPr>
          <w:spacing w:val="-5"/>
        </w:rPr>
        <w:t>)</w:t>
      </w:r>
    </w:p>
    <w:p>
      <w:pPr>
        <w:pStyle w:val="BodyText"/>
        <w:ind w:right="212" w:firstLine="179"/>
        <w:spacing w:before="66" w:line="294" w:lineRule="auto"/>
        <w:rPr/>
      </w:pPr>
      <w:r>
        <w:rPr>
          <w:spacing w:val="6"/>
        </w:rPr>
        <w:t>(3)土.地退化严重的区域，建立自然保护区，</w:t>
      </w:r>
      <w:r>
        <w:rPr>
          <w:spacing w:val="-35"/>
        </w:rPr>
        <w:t xml:space="preserve"> </w:t>
      </w:r>
      <w:r>
        <w:rPr>
          <w:b/>
          <w:bCs/>
          <w:spacing w:val="6"/>
        </w:rPr>
        <w:t>促进植被自然恢复；</w:t>
      </w:r>
      <w:r>
        <w:rPr>
          <w:spacing w:val="-51"/>
        </w:rPr>
        <w:t xml:space="preserve"> </w:t>
      </w:r>
      <w:r>
        <w:rPr>
          <w:spacing w:val="6"/>
        </w:rPr>
        <w:t>根据水分</w:t>
      </w:r>
      <w:r>
        <w:rPr/>
        <w:t xml:space="preserve"> </w:t>
      </w:r>
      <w:r>
        <w:rPr>
          <w:spacing w:val="9"/>
        </w:rPr>
        <w:t>条件差异，</w:t>
      </w:r>
      <w:r>
        <w:rPr>
          <w:spacing w:val="115"/>
        </w:rPr>
        <w:t xml:space="preserve"> </w:t>
      </w:r>
      <w:r>
        <w:rPr>
          <w:b/>
          <w:bCs/>
          <w:spacing w:val="9"/>
        </w:rPr>
        <w:t>因地制宜选择适生植物；改进灌溉技术</w:t>
      </w:r>
      <w:r>
        <w:rPr>
          <w:spacing w:val="9"/>
        </w:rPr>
        <w:t>，防止植被恢复过程中灌</w:t>
      </w:r>
    </w:p>
    <w:p>
      <w:pPr>
        <w:pStyle w:val="BodyText"/>
        <w:spacing w:before="1" w:line="219" w:lineRule="auto"/>
        <w:rPr/>
      </w:pPr>
      <w:r>
        <w:rPr>
          <w:spacing w:val="20"/>
        </w:rPr>
        <w:t>溉不当引发的次生盐渍化和水资源浪费(6分)</w:t>
      </w:r>
    </w:p>
    <w:sectPr>
      <w:pgSz w:w="11910" w:h="16840"/>
      <w:pgMar w:top="821" w:right="574" w:bottom="0" w:left="930" w:header="0" w:footer="0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T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86"/>
    <w:family w:val="auto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FFFF0000"/>
  </w:font>
  <w:font w:name="Microsoft JhengHei">
    <w:panose1 w:val="020B0604030504040204"/>
    <w:charset w:val="88"/>
    <w:family w:val="auto"/>
    <w:pitch w:val="default"/>
    <w:sig w:usb0="000002A7" w:usb1="28CF4400" w:usb2="00000016" w:usb3="00000000" w:csb0="00100009" w:csb1="00000000"/>
  </w:font>
</w:fonts>
</file>

<file path=word/settings.xml><?xml version="1.0" encoding="utf-8"?>
<w:settings xmlns:w="http://schemas.openxmlformats.org/wordprocessingml/2006/main">
  <w:displayBackgroundShape/>
  <w:characterSpacingControl w:val="doNotCompress"/>
  <w:compat>
    <w:spaceForUL/>
    <w:ulTrailSpace/>
    <w:compatSetting w:name="compatibilityMode" w:uri="http://schemas.microsoft.com/office/word" w:val="14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0="urn:schemas-microsoft-com:office:word" xmlns:sl="http://schemas.openxmlformats.org/schemaLibrary/2006/main" xmlns:w14="http://schemas.microsoft.com/office/word/2010/wordml" mc:Ignorable="w14">
  <w:docDefaults>
    <w:rPrDefault>
      <w:rPr>
        <w:rFonts w:ascii="Arial" w:hAnsi="Arial" w:eastAsia="Arial" w:cs="Arial"/>
        <w:sz w:val="21"/>
        <w:szCs w:val="21"/>
        <w:lang w:val="en-US" w:eastAsia="en-US" w:bidi="ar-SA"/>
        <w:color w:val="000000"/>
        <w:kern w:val="0"/>
        <w:snapToGrid w:val="0"/>
      </w:rPr>
    </w:rPrDefault>
  </w:docDefaults>
  <w:style w:type="paragraph" w:styleId="Normal" w:default="1">
    <w:name w:val="Normal"/>
    <w:semiHidden/>
    <w:qFormat/>
    <w:pPr>
      <w:spacing w:line="240" w:lineRule="auto"/>
      <w:jc w:val="left"/>
      <w:autoSpaceDE w:val="0"/>
      <w:autoSpaceDN w:val="0"/>
      <w:adjustRightInd w:val="0"/>
      <w:snapToGrid w:val="0"/>
      <w:kinsoku w:val="0"/>
      <w:textAlignment w:val="baseline"/>
    </w:pPr>
    <w:rPr>
      <w:color w:val="000000"/>
      <w:kern w:val="0"/>
      <w:snapToGrid w:val="0"/>
      <w:noProof w:val="1"/>
    </w:rPr>
  </w:style>
  <w:style w:type="table" w:styleId="TableNormal" w:default="1">
    <w:name w:val="Table Normal"/>
    <w:semiHidden/>
    <w:unhideWhenUsed/>
    <w:qFormat/>
    <w:tblPr>
      <w:tblCellMar>
        <w:left w:w="0" w:type="dxa"/>
        <w:right w:w="0" w:type="dxa"/>
        <w:bottom w:w="0" w:type="dxa"/>
        <w:top w:w="0" w:type="dxa"/>
      </w:tblCellMar>
    </w:tblPr>
  </w:style>
  <w:style w:type="paragraph" w:styleId="BodyText">
    <w:name w:val="Body Text"/>
    <w:basedOn w:val="Normal"/>
    <w:semiHidden/>
    <w:qFormat/>
    <w:pPr/>
    <w:rPr>
      <w:rFonts w:ascii="SimSun" w:hAnsi="SimSun" w:eastAsia="SimSun" w:cs="SimSun"/>
      <w:sz w:val="29"/>
      <w:szCs w:val="29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settings" Target="settings.xml"/></Relationships>
</file>

<file path=docProps/app.xml><?xml version="1.0" encoding="utf-8"?>
<ap:Properties xmlns:vt="http://schemas.openxmlformats.org/officeDocument/2006/docPropsVTypes" xmlns:ap="http://schemas.openxmlformats.org/officeDocument/2006/extended-properties">
  <ap:Application>Kingsoft-PDF</ap:Application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pdfbuilder</dc:subject>
  <dc:creator>Kingsoft-PDF</dc:creator>
  <dcterms:created xsi:type="dcterms:W3CDTF">2023-12-23T11:02:06Z</dcterms:creat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2023-12-23T11:02:07</vt:filetime>
  </property>
  <property fmtid="{D5CDD505-2E9C-101B-9397-08002B2CF9AE}" pid="4" name="UsrData">
    <vt:lpwstr>65864dac4bc505001f3a850bwl</vt:lpwstr>
  </property>
</Properties>
</file>