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textAlignment w:val="center"/>
        <w:rPr>
          <w:rFonts w:ascii="Times New Roman" w:hAnsi="Times New Roman"/>
          <w:b/>
          <w:sz w:val="32"/>
          <w:szCs w:val="32"/>
        </w:rPr>
      </w:pPr>
      <w:bookmarkStart w:id="1" w:name="_GoBack"/>
      <w:bookmarkEnd w:id="1"/>
      <w:r>
        <w:rPr>
          <w:rFonts w:hint="eastAsia" w:ascii="Times New Roman" w:hAnsi="Times New Roman"/>
          <w:b/>
          <w:sz w:val="32"/>
          <w:szCs w:val="32"/>
        </w:rPr>
        <w:t>名校联盟全国优质校2024届高三大联考</w:t>
      </w: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化学参考答案及评分标准</w:t>
      </w:r>
    </w:p>
    <w:p>
      <w:pPr>
        <w:spacing w:line="288" w:lineRule="auto"/>
        <w:jc w:val="righ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2024.2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说明：化学方程式或离子方程式中，化学式写错的不给分；化学式对而未配平或重要条件错误扣1分，气体或沉淀符号未标扣1分，以上扣分不累计.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一、选择题（每小题4分，共40分）</w:t>
      </w:r>
    </w:p>
    <w:tbl>
      <w:tblPr>
        <w:tblStyle w:val="4"/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5"/>
        <w:gridCol w:w="630"/>
        <w:gridCol w:w="630"/>
        <w:gridCol w:w="1530"/>
        <w:gridCol w:w="630"/>
        <w:gridCol w:w="630"/>
        <w:gridCol w:w="630"/>
        <w:gridCol w:w="615"/>
        <w:gridCol w:w="615"/>
        <w:gridCol w:w="615"/>
        <w:gridCol w:w="6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题号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答案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A或B或AB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C</w:t>
            </w:r>
          </w:p>
        </w:tc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</w:t>
            </w:r>
          </w:p>
        </w:tc>
        <w:tc>
          <w:tcPr>
            <w:tcW w:w="6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B</w:t>
            </w:r>
          </w:p>
        </w:tc>
        <w:tc>
          <w:tcPr>
            <w:tcW w:w="6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</w:t>
            </w:r>
          </w:p>
        </w:tc>
        <w:tc>
          <w:tcPr>
            <w:tcW w:w="6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</w:t>
            </w:r>
          </w:p>
        </w:tc>
        <w:tc>
          <w:tcPr>
            <w:tcW w:w="6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</w:t>
            </w:r>
          </w:p>
        </w:tc>
      </w:tr>
    </w:tbl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二、填空题（本题包括4个小题，共60分）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</w:t>
      </w:r>
      <w:r>
        <w:rPr>
          <w:rFonts w:ascii="Times New Roman" w:hAnsi="Times New Roman"/>
          <w:bCs/>
        </w:rPr>
        <w:t>1.（15分）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（1）增加反应物面积，加快酸浸速率</w:t>
      </w:r>
      <w:r>
        <w:rPr>
          <w:rFonts w:hint="eastAsia" w:ascii="Times New Roman" w:hAnsi="Times New Roman"/>
          <w:bCs/>
        </w:rPr>
        <w:t>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</w:t>
      </w:r>
      <w:r>
        <w:rPr>
          <w:rFonts w:ascii="Times New Roman" w:hAnsi="Times New Roman"/>
        </w:rPr>
        <w:object>
          <v:shape id="_x0000_i1168" o:spt="75" type="#_x0000_t75" style="height:18.75pt;width:22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168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（3）</w:t>
      </w:r>
      <w:r>
        <w:rPr>
          <w:rFonts w:ascii="Times New Roman" w:hAnsi="Times New Roman"/>
        </w:rPr>
        <w:object>
          <v:shape id="_x0000_i1169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169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（4）</w:t>
      </w:r>
      <w:r>
        <w:rPr>
          <w:rFonts w:ascii="Times New Roman" w:hAnsi="Times New Roman"/>
        </w:rPr>
        <w:object>
          <v:shape id="_x0000_i1170" o:spt="75" type="#_x0000_t75" style="height:18.75pt;width:24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170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（5）使用</w:t>
      </w:r>
      <w:r>
        <w:rPr>
          <w:rFonts w:ascii="Times New Roman" w:hAnsi="Times New Roman"/>
        </w:rPr>
        <w:object>
          <v:shape id="_x0000_i1171" o:spt="75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171" DrawAspect="Content" ObjectID="_1468075728" r:id="rId11">
            <o:LockedField>false</o:LockedField>
          </o:OLEObject>
        </w:object>
      </w:r>
      <w:r>
        <w:rPr>
          <w:rFonts w:ascii="Times New Roman" w:hAnsi="Times New Roman"/>
          <w:bCs/>
        </w:rPr>
        <w:t>会产生有害气体</w:t>
      </w:r>
      <w:r>
        <w:rPr>
          <w:rFonts w:ascii="Times New Roman" w:hAnsi="Times New Roman"/>
        </w:rPr>
        <w:object>
          <v:shape id="_x0000_i1172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172" DrawAspect="Content" ObjectID="_1468075729" r:id="rId13">
            <o:LockedField>false</o:LockedField>
          </o:OLEObject>
        </w:object>
      </w:r>
      <w:r>
        <w:rPr>
          <w:rFonts w:ascii="Times New Roman" w:hAnsi="Times New Roman"/>
          <w:bCs/>
        </w:rPr>
        <w:t>，使用</w:t>
      </w:r>
      <w:r>
        <w:rPr>
          <w:rFonts w:ascii="Times New Roman" w:hAnsi="Times New Roman"/>
        </w:rPr>
        <w:object>
          <v:shape id="_x0000_i1173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173" DrawAspect="Content" ObjectID="_1468075730" r:id="rId15">
            <o:LockedField>false</o:LockedField>
          </o:OLEObject>
        </w:object>
      </w:r>
      <w:r>
        <w:rPr>
          <w:rFonts w:ascii="Times New Roman" w:hAnsi="Times New Roman"/>
          <w:bCs/>
        </w:rPr>
        <w:t>可避免的同时也能起到酸溶的作用</w:t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（6）</w:t>
      </w:r>
      <w:r>
        <w:rPr>
          <w:rFonts w:ascii="Times New Roman" w:hAnsi="Times New Roman"/>
        </w:rPr>
        <w:object>
          <v:shape id="_x0000_i1174" o:spt="75" type="#_x0000_t75" style="height:27pt;width:179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174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（7）9.0</w:t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（8）蒸发浓缩、冷却结晶、过滤洗涤</w:t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12.（15分）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（1）硝基、醚键</w:t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</w:t>
      </w:r>
      <w:r>
        <w:drawing>
          <wp:inline distT="0" distB="0" distL="0" distR="0">
            <wp:extent cx="637540" cy="980440"/>
            <wp:effectExtent l="0" t="0" r="0" b="0"/>
            <wp:docPr id="20612033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203338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8095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</w:rPr>
        <w:t>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（3）还原反应</w:t>
      </w:r>
      <w:r>
        <w:rPr>
          <w:rFonts w:hint="eastAsia" w:ascii="Times New Roman" w:hAnsi="Times New Roman"/>
          <w:bCs/>
        </w:rPr>
        <w:t>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（4）</w:t>
      </w:r>
      <w:r>
        <w:drawing>
          <wp:inline distT="0" distB="0" distL="0" distR="0">
            <wp:extent cx="2561590" cy="1037590"/>
            <wp:effectExtent l="0" t="0" r="0" b="0"/>
            <wp:docPr id="8990137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013782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（5）11</w:t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275715" cy="513715"/>
            <wp:effectExtent l="0" t="0" r="635" b="635"/>
            <wp:docPr id="4634263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426394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（6）</w:t>
      </w:r>
      <w:r>
        <w:rPr>
          <w:rFonts w:hint="eastAsia" w:ascii="Times New Roman" w:hAnsi="Times New Roman"/>
          <w:bCs/>
        </w:rPr>
        <w:t>①</w:t>
      </w:r>
      <w:r>
        <w:rPr>
          <w:rFonts w:ascii="Times New Roman" w:hAnsi="Times New Roman"/>
          <w:bCs/>
        </w:rPr>
        <w:t>6</w:t>
      </w:r>
      <w:r>
        <w:rPr>
          <w:rFonts w:hint="eastAsia" w:ascii="Times New Roman" w:hAnsi="Times New Roman"/>
          <w:bCs/>
        </w:rPr>
        <w:t>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②</w:t>
      </w:r>
      <w:r>
        <w:drawing>
          <wp:inline distT="0" distB="0" distL="0" distR="0">
            <wp:extent cx="961390" cy="799465"/>
            <wp:effectExtent l="0" t="0" r="0" b="635"/>
            <wp:docPr id="2730009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00986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61905" cy="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③</w:t>
      </w:r>
      <w:r>
        <w:rPr>
          <w:rFonts w:ascii="Times New Roman" w:hAnsi="Times New Roman"/>
        </w:rPr>
        <w:object>
          <v:shape id="_x0000_i1175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175" DrawAspect="Content" ObjectID="_1468075732" r:id="rId23">
            <o:LockedField>false</o:LockedField>
          </o:OLEObject>
        </w:object>
      </w:r>
      <w:r>
        <w:rPr>
          <w:rFonts w:ascii="Times New Roman" w:hAnsi="Times New Roman"/>
          <w:bCs/>
        </w:rPr>
        <w:t>电子数相同，原子数更少，电子云密度更大；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bCs/>
        </w:rPr>
        <w:t>原子电负性大，具有吸电子作用（2分）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13.（14分）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（1）124</w:t>
      </w:r>
      <w:r>
        <w:rPr>
          <w:rFonts w:hint="eastAsia" w:ascii="Times New Roman" w:hAnsi="Times New Roman"/>
          <w:bCs/>
        </w:rPr>
        <w:t>（2分）</w:t>
      </w:r>
    </w:p>
    <w:p>
      <w:pPr>
        <w:pStyle w:val="13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176" o:spt="75" type="#_x0000_t75" style="height:39.75pt;width:3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176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</w:t>
      </w:r>
      <w:r>
        <w:rPr>
          <w:rFonts w:hint="eastAsia" w:ascii="Times New Roman" w:hAnsi="Times New Roman"/>
          <w:bCs/>
        </w:rPr>
        <w:t>①</w:t>
      </w:r>
      <w:r>
        <w:rPr>
          <w:rFonts w:ascii="Times New Roman" w:hAnsi="Times New Roman"/>
        </w:rPr>
        <w:object>
          <v:shape id="_x0000_i1177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177" DrawAspect="Content" ObjectID="_1468075734" r:id="rId27">
            <o:LockedField>false</o:LockedField>
          </o:OLEObject>
        </w:object>
      </w:r>
      <w:r>
        <w:rPr>
          <w:rFonts w:ascii="Times New Roman" w:hAnsi="Times New Roman"/>
          <w:bCs/>
        </w:rPr>
        <w:t>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反应为气体分子数增大的反应，压强增大，平衡向左移动，丙烷的平衡转化率减小（2分）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②</w:t>
      </w:r>
      <w:r>
        <w:rPr>
          <w:rFonts w:ascii="Times New Roman" w:hAnsi="Times New Roman"/>
          <w:bCs/>
        </w:rPr>
        <w:t>上移（1分）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（3）</w:t>
      </w:r>
      <w:r>
        <w:rPr>
          <w:rFonts w:hint="eastAsia" w:ascii="Times New Roman" w:hAnsi="Times New Roman"/>
          <w:bCs/>
        </w:rPr>
        <w:t>①</w:t>
      </w:r>
      <w:r>
        <w:rPr>
          <w:rFonts w:ascii="Times New Roman" w:hAnsi="Times New Roman"/>
          <w:bCs/>
        </w:rPr>
        <w:t>c（1分）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②</w:t>
      </w:r>
      <w:r>
        <w:rPr>
          <w:rFonts w:ascii="Times New Roman" w:hAnsi="Times New Roman"/>
          <w:bCs/>
        </w:rPr>
        <w:t>随着</w:t>
      </w:r>
      <w:r>
        <w:rPr>
          <w:rFonts w:ascii="Times New Roman" w:hAnsi="Times New Roman"/>
        </w:rPr>
        <w:object>
          <v:shape id="_x0000_i1178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178" DrawAspect="Content" ObjectID="_1468075735" r:id="rId29">
            <o:LockedField>false</o:LockedField>
          </o:OLEObject>
        </w:object>
      </w:r>
      <w:r>
        <w:rPr>
          <w:rFonts w:ascii="Times New Roman" w:hAnsi="Times New Roman"/>
          <w:bCs/>
        </w:rPr>
        <w:t>的含量增大，平衡向右移动</w:t>
      </w:r>
      <w:r>
        <w:rPr>
          <w:rFonts w:hint="eastAsia" w:ascii="Times New Roman" w:hAnsi="Times New Roman"/>
          <w:bCs/>
        </w:rPr>
        <w:t>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③</w:t>
      </w:r>
      <w:r>
        <w:rPr>
          <w:rFonts w:ascii="Times New Roman" w:hAnsi="Times New Roman"/>
        </w:rPr>
        <w:object>
          <v:shape id="_x0000_i1179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179" DrawAspect="Content" ObjectID="_1468075736" r:id="rId31">
            <o:LockedField>false</o:LockedField>
          </o:OLEObject>
        </w:object>
      </w:r>
      <w:r>
        <w:rPr>
          <w:rFonts w:ascii="Times New Roman" w:hAnsi="Times New Roman"/>
          <w:bCs/>
        </w:rPr>
        <w:t>活化了催化剂</w:t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④</w:t>
      </w:r>
      <w:r>
        <w:rPr>
          <w:rFonts w:ascii="Times New Roman" w:hAnsi="Times New Roman"/>
        </w:rPr>
        <w:object>
          <v:shape id="_x0000_i1180" o:spt="75" type="#_x0000_t75" style="height:31.5pt;width:7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180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14.（16分）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（1）</w:t>
      </w:r>
      <w:r>
        <w:rPr>
          <w:rFonts w:ascii="Times New Roman" w:hAnsi="Times New Roman"/>
        </w:rPr>
        <w:t xml:space="preserve">S    </w:t>
      </w:r>
      <w:r>
        <w:rPr>
          <w:rFonts w:ascii="Times New Roman" w:hAnsi="Times New Roman"/>
          <w:bCs/>
        </w:rPr>
        <w:t>四面体（各1分，共2分）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（2）</w:t>
      </w:r>
      <w:r>
        <w:rPr>
          <w:rFonts w:ascii="Times New Roman" w:hAnsi="Times New Roman"/>
        </w:rPr>
        <w:object>
          <v:shape id="_x0000_i1181" o:spt="75" type="#_x0000_t75" style="height:21pt;width:38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181" DrawAspect="Content" ObjectID="_1468075738" r:id="rId35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（3）过量的</w:t>
      </w:r>
      <w:r>
        <w:rPr>
          <w:rFonts w:ascii="Times New Roman" w:hAnsi="Times New Roman"/>
        </w:rPr>
        <w:object>
          <v:shape id="_x0000_i1182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182" DrawAspect="Content" ObjectID="_1468075739" r:id="rId3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与</w:t>
      </w:r>
      <w:r>
        <w:rPr>
          <w:rFonts w:ascii="Times New Roman" w:hAnsi="Times New Roman"/>
          <w:bCs/>
        </w:rPr>
        <w:object>
          <v:shape id="_x0000_i1183" o:spt="75" type="#_x0000_t75" style="height:18.75pt;width:31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183" DrawAspect="Content" ObjectID="_1468075740" r:id="rId3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结合，使得</w:t>
      </w:r>
      <w:r>
        <w:rPr>
          <w:rFonts w:ascii="Times New Roman" w:hAnsi="Times New Roman"/>
          <w:bCs/>
        </w:rPr>
        <w:object>
          <v:shape id="_x0000_i1184" o:spt="75" type="#_x0000_t75" style="height:21.75pt;width:4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184" DrawAspect="Content" ObjectID="_1468075741" r:id="rId4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降低，</w:t>
      </w:r>
      <w:r>
        <w:rPr>
          <w:rFonts w:ascii="Times New Roman" w:hAnsi="Times New Roman"/>
          <w:bCs/>
        </w:rPr>
        <w:object>
          <v:shape id="_x0000_i1185" o:spt="75" type="#_x0000_t75" style="height:24pt;width:189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185" DrawAspect="Content" ObjectID="_1468075742" r:id="rId4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逆向移动，析出沉淀（2分）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（4）D 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加入足量</w:t>
      </w:r>
      <w:r>
        <w:rPr>
          <w:rFonts w:ascii="Times New Roman" w:hAnsi="Times New Roman"/>
        </w:rPr>
        <w:object>
          <v:shape id="_x0000_i1186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186" DrawAspect="Content" ObjectID="_1468075743" r:id="rId4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溶液充分振荡后，过滤，取沉淀加入足量的稀硝酸，沉淀溶解，产生红棕色气体（2分）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（5）</w:t>
      </w:r>
      <w:r>
        <w:rPr>
          <w:rFonts w:ascii="Times New Roman" w:hAnsi="Times New Roman"/>
        </w:rPr>
        <w:object>
          <v:shape id="_x0000_i1187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187" DrawAspect="Content" ObjectID="_1468075744" r:id="rId4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与</w:t>
      </w:r>
      <w:r>
        <w:rPr>
          <w:rFonts w:ascii="Times New Roman" w:hAnsi="Times New Roman"/>
          <w:bCs/>
        </w:rPr>
        <w:object>
          <v:shape id="_x0000_i1188" o:spt="75" type="#_x0000_t75" style="height:16.5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188" DrawAspect="Content" ObjectID="_1468075745" r:id="rId4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的沉淀速率大于</w:t>
      </w:r>
      <w:r>
        <w:rPr>
          <w:rFonts w:ascii="Times New Roman" w:hAnsi="Times New Roman"/>
        </w:rPr>
        <w:object>
          <v:shape id="_x0000_i1189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189" DrawAspect="Content" ObjectID="_1468075746" r:id="rId5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与</w:t>
      </w:r>
      <w:r>
        <w:rPr>
          <w:rFonts w:ascii="Times New Roman" w:hAnsi="Times New Roman"/>
          <w:bCs/>
        </w:rPr>
        <w:object>
          <v:shape id="_x0000_i1190" o:spt="75" type="#_x0000_t75" style="height:16.5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190" DrawAspect="Content" ObjectID="_1468075747" r:id="rId5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的氧化还原速率（2分）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（6）防止制备的</w:t>
      </w:r>
      <w:r>
        <w:rPr>
          <w:rFonts w:ascii="Times New Roman" w:hAnsi="Times New Roman"/>
        </w:rPr>
        <w:object>
          <v:shape id="_x0000_i1191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91" DrawAspect="Content" ObjectID="_1468075748" r:id="rId5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中混有S和</w:t>
      </w:r>
      <w:r>
        <w:rPr>
          <w:rFonts w:ascii="Times New Roman" w:hAnsi="Times New Roman"/>
        </w:rPr>
        <w:object>
          <v:shape id="_x0000_i1192" o:spt="75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192" DrawAspect="Content" ObjectID="_1468075749" r:id="rId5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（2分）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（7）①D（1分）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②偏低（1分）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bookmarkStart w:id="0" w:name="MTBlankEqn"/>
      <w:r>
        <w:rPr>
          <w:rFonts w:hint="eastAsia" w:ascii="Times New Roman" w:hAnsi="Times New Roman"/>
          <w:bCs/>
        </w:rPr>
        <w:t>③</w:t>
      </w:r>
      <w:r>
        <w:rPr>
          <w:rFonts w:ascii="Times New Roman" w:hAnsi="Times New Roman"/>
        </w:rPr>
        <w:object>
          <v:shape id="_x0000_i1193" o:spt="75" type="#_x0000_t75" style="height:33.75pt;width:85.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193" DrawAspect="Content" ObjectID="_1468075750" r:id="rId57">
            <o:LockedField>false</o:LockedField>
          </o:OLEObject>
        </w:object>
      </w:r>
      <w:bookmarkEnd w:id="0"/>
      <w:r>
        <w:rPr>
          <w:rFonts w:hint="eastAsia" w:ascii="Times New Roman" w:hAnsi="Times New Roman"/>
        </w:rPr>
        <w:t>（2分）</w:t>
      </w:r>
    </w:p>
    <w:sectPr>
      <w:foot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mOTUyNjQ5YjI5ZWQwNjE4YmUxOTdiY2JmNTk3ZWMifQ=="/>
  </w:docVars>
  <w:rsids>
    <w:rsidRoot w:val="00A07DF2"/>
    <w:rsid w:val="00005EBC"/>
    <w:rsid w:val="00037127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B5B14"/>
    <w:rsid w:val="002F06B2"/>
    <w:rsid w:val="003102DB"/>
    <w:rsid w:val="003443E6"/>
    <w:rsid w:val="003625C4"/>
    <w:rsid w:val="00373D0A"/>
    <w:rsid w:val="00374FB1"/>
    <w:rsid w:val="003972D2"/>
    <w:rsid w:val="003B1712"/>
    <w:rsid w:val="003C4A95"/>
    <w:rsid w:val="003D0C09"/>
    <w:rsid w:val="004062F6"/>
    <w:rsid w:val="004151FC"/>
    <w:rsid w:val="00416236"/>
    <w:rsid w:val="00430A44"/>
    <w:rsid w:val="00435F83"/>
    <w:rsid w:val="00444A46"/>
    <w:rsid w:val="0046214C"/>
    <w:rsid w:val="00464300"/>
    <w:rsid w:val="0049183B"/>
    <w:rsid w:val="004B44B5"/>
    <w:rsid w:val="004D44FD"/>
    <w:rsid w:val="00584D0B"/>
    <w:rsid w:val="0059145F"/>
    <w:rsid w:val="00596076"/>
    <w:rsid w:val="005B39DB"/>
    <w:rsid w:val="005C2124"/>
    <w:rsid w:val="005F1362"/>
    <w:rsid w:val="005F4BC7"/>
    <w:rsid w:val="00605626"/>
    <w:rsid w:val="006071D5"/>
    <w:rsid w:val="0062039B"/>
    <w:rsid w:val="00623C16"/>
    <w:rsid w:val="00637D3A"/>
    <w:rsid w:val="00640BF5"/>
    <w:rsid w:val="006A24C0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C5E13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6274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Verbatim Char"/>
    <w:autoRedefine/>
    <w:qFormat/>
    <w:uiPriority w:val="0"/>
    <w:rPr>
      <w:rFonts w:ascii="Consolas" w:hAnsi="Consolas"/>
      <w:sz w:val="22"/>
    </w:rPr>
  </w:style>
  <w:style w:type="character" w:customStyle="1" w:styleId="11">
    <w:name w:val="页脚 字符"/>
    <w:basedOn w:val="5"/>
    <w:link w:val="2"/>
    <w:autoRedefine/>
    <w:qFormat/>
    <w:uiPriority w:val="99"/>
    <w:rPr>
      <w:kern w:val="2"/>
      <w:sz w:val="18"/>
      <w:szCs w:val="24"/>
    </w:rPr>
  </w:style>
  <w:style w:type="character" w:customStyle="1" w:styleId="12">
    <w:name w:val="MTConvertedEquation"/>
    <w:basedOn w:val="5"/>
    <w:autoRedefine/>
    <w:qFormat/>
    <w:uiPriority w:val="0"/>
    <w:rPr>
      <w:rFonts w:ascii="Times New Roman" w:hAnsi="Times New Roman"/>
      <w:bCs/>
      <w:color w:val="FF0000"/>
    </w:rPr>
  </w:style>
  <w:style w:type="paragraph" w:customStyle="1" w:styleId="13">
    <w:name w:val="MTDisplayEquation"/>
    <w:basedOn w:val="1"/>
    <w:next w:val="1"/>
    <w:link w:val="14"/>
    <w:autoRedefine/>
    <w:qFormat/>
    <w:uiPriority w:val="0"/>
    <w:pPr>
      <w:tabs>
        <w:tab w:val="center" w:pos="5000"/>
        <w:tab w:val="right" w:pos="9980"/>
      </w:tabs>
      <w:spacing w:line="288" w:lineRule="auto"/>
      <w:jc w:val="left"/>
    </w:pPr>
  </w:style>
  <w:style w:type="character" w:customStyle="1" w:styleId="14">
    <w:name w:val="MTDisplayEquation 字符"/>
    <w:basedOn w:val="5"/>
    <w:link w:val="13"/>
    <w:autoRedefine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1" Type="http://schemas.openxmlformats.org/officeDocument/2006/relationships/fontTable" Target="fontTable.xml"/><Relationship Id="rId60" Type="http://schemas.openxmlformats.org/officeDocument/2006/relationships/customXml" Target="../customXml/item2.xml"/><Relationship Id="rId6" Type="http://schemas.openxmlformats.org/officeDocument/2006/relationships/image" Target="media/image2.wmf"/><Relationship Id="rId59" Type="http://schemas.openxmlformats.org/officeDocument/2006/relationships/customXml" Target="../customXml/item1.xml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4.bin"/><Relationship Id="rId52" Type="http://schemas.openxmlformats.org/officeDocument/2006/relationships/oleObject" Target="embeddings/oleObject23.bin"/><Relationship Id="rId51" Type="http://schemas.openxmlformats.org/officeDocument/2006/relationships/oleObject" Target="embeddings/oleObject22.bin"/><Relationship Id="rId50" Type="http://schemas.openxmlformats.org/officeDocument/2006/relationships/image" Target="media/image26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1.bin"/><Relationship Id="rId48" Type="http://schemas.openxmlformats.org/officeDocument/2006/relationships/image" Target="media/image25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6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463562-A13B-40FA-A2FE-1D49DFEB74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1333</Words>
  <Characters>7602</Characters>
  <DocSecurity>0</DocSecurity>
  <Lines>63</Lines>
  <Paragraphs>17</Paragraphs>
  <ScaleCrop>false</ScaleCrop>
  <LinksUpToDate>false</LinksUpToDate>
  <CharactersWithSpaces>8918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terms:modified xsi:type="dcterms:W3CDTF">2024-02-19T01:31:03Z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D6CD8C0B696D4348B4AFBC211E065651_12</vt:lpwstr>
  </property>
</Properties>
</file>