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ordWrap w:val="0"/>
        <w:spacing w:line="460" w:lineRule="atLeast"/>
        <w:jc w:val="center"/>
        <w:textAlignment w:val="baseline"/>
        <w:rPr>
          <w:sz w:val="28"/>
          <w:szCs w:val="20"/>
        </w:rPr>
      </w:pPr>
      <w:bookmarkStart w:id="0" w:name="_GoBack"/>
      <w:bookmarkEnd w:id="0"/>
      <w:r>
        <w:rPr>
          <w:rFonts w:ascii="宋体" w:hAnsi="宋体" w:eastAsia="宋体" w:cs="宋体"/>
          <w:color w:val="000000"/>
          <w:sz w:val="28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10731500</wp:posOffset>
            </wp:positionH>
            <wp:positionV relativeFrom="topMargin">
              <wp:posOffset>10718800</wp:posOffset>
            </wp:positionV>
            <wp:extent cx="266700" cy="254000"/>
            <wp:effectExtent l="0" t="0" r="0" b="1270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000000"/>
          <w:sz w:val="28"/>
          <w:szCs w:val="20"/>
        </w:rPr>
        <w:t>荆州中学2024届高三下学期5月第三次适应性考试</w:t>
      </w:r>
    </w:p>
    <w:p>
      <w:pPr>
        <w:wordWrap w:val="0"/>
        <w:spacing w:before="240" w:line="720" w:lineRule="atLeast"/>
        <w:jc w:val="center"/>
        <w:textAlignment w:val="baseline"/>
        <w:rPr>
          <w:sz w:val="48"/>
          <w:szCs w:val="20"/>
        </w:rPr>
      </w:pPr>
      <w:r>
        <w:rPr>
          <w:rFonts w:ascii="宋体" w:hAnsi="宋体" w:eastAsia="宋体" w:cs="宋体"/>
          <w:b/>
          <w:color w:val="000000"/>
          <w:sz w:val="48"/>
          <w:szCs w:val="20"/>
        </w:rPr>
        <w:t>地 理试 题</w:t>
      </w:r>
    </w:p>
    <w:p>
      <w:pPr>
        <w:wordWrap w:val="0"/>
        <w:spacing w:line="160" w:lineRule="exact"/>
        <w:jc w:val="center"/>
        <w:textAlignment w:val="baseline"/>
        <w:rPr>
          <w:sz w:val="16"/>
          <w:szCs w:val="20"/>
        </w:rPr>
      </w:pPr>
    </w:p>
    <w:p>
      <w:pPr>
        <w:wordWrap w:val="0"/>
        <w:spacing w:line="260" w:lineRule="atLeast"/>
        <w:jc w:val="center"/>
        <w:textAlignment w:val="baseline"/>
        <w:rPr>
          <w:sz w:val="16"/>
          <w:szCs w:val="20"/>
        </w:rPr>
      </w:pPr>
      <w:r>
        <w:rPr>
          <w:rFonts w:ascii="宋体" w:hAnsi="宋体" w:eastAsia="宋体" w:cs="宋体"/>
          <w:color w:val="000000"/>
          <w:sz w:val="16"/>
          <w:szCs w:val="20"/>
        </w:rPr>
        <w:t>命审题人：</w:t>
      </w:r>
    </w:p>
    <w:p>
      <w:pPr>
        <w:wordWrap w:val="0"/>
        <w:spacing w:line="160" w:lineRule="exact"/>
        <w:jc w:val="center"/>
        <w:textAlignment w:val="baseline"/>
        <w:rPr>
          <w:sz w:val="16"/>
          <w:szCs w:val="20"/>
        </w:rPr>
      </w:pP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一、单项选择题。本题共15小题，每小题3分，共45分。</w:t>
      </w:r>
    </w:p>
    <w:p>
      <w:pPr>
        <w:wordWrap w:val="0"/>
        <w:spacing w:line="340" w:lineRule="atLeast"/>
        <w:ind w:firstLine="54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文莱滨海公路连接首都斯里巴加湾市和马来西亚边境口岸，地处赤道附近，已有数十年历史，穿过滨海小城诗里亚和马莱奕内部，并通过汽车轮渡连接宽100多米的贝莱特河两岸。2017年，文莱快速干线建成后，绕过诗里亚和马莱奕，通过桥梁跨越贝莱特河，直连口岸(如图)。据此完成下面小题。</w:t>
      </w:r>
    </w:p>
    <w:p>
      <w:pPr>
        <w:wordWrap w:val="0"/>
        <w:spacing w:line="0" w:lineRule="atLeast"/>
        <w:jc w:val="center"/>
        <w:textAlignment w:val="baseline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5067300" cy="1930400"/>
            <wp:effectExtent l="0" t="0" r="0" b="0"/>
            <wp:docPr id="2" name="Draw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1.早期文莱滨海公路穿过诗里亚和马莱奕内部，主要是为了(  )</w:t>
      </w:r>
    </w:p>
    <w:p>
      <w:pPr>
        <w:wordWrap w:val="0"/>
        <w:spacing w:before="10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A.提高当地城镇化水平               B.兼顾城市内部交通功能</w:t>
      </w:r>
    </w:p>
    <w:p>
      <w:pPr>
        <w:wordWrap w:val="0"/>
        <w:spacing w:before="12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C.促进城市内部功能分区            D.缓解进出城区交通拥堵状况</w:t>
      </w:r>
    </w:p>
    <w:p>
      <w:pPr>
        <w:wordWrap w:val="0"/>
        <w:spacing w:before="12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2.早期滨海公路未配套桥梁跨越贝莱特河，可能主要是由于 (  )</w:t>
      </w:r>
    </w:p>
    <w:p>
      <w:pPr>
        <w:wordWrap w:val="0"/>
        <w:spacing w:before="10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A.河流径流量大                    B.受台风影响显著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C.技术力量薄弱                     D.运输需求有限</w:t>
      </w:r>
    </w:p>
    <w:p>
      <w:pPr>
        <w:wordWrap w:val="0"/>
        <w:spacing w:before="12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3.文莱快速干线建成后，诗里亚和马莱奕经济发展速度趋缓的主要原因是 (  )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A.人口迁移减弱                     B.内部道路老化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C.对外交通不便                     D.流通服务减少</w:t>
      </w:r>
    </w:p>
    <w:p>
      <w:pPr>
        <w:wordWrap w:val="0"/>
        <w:spacing w:line="340" w:lineRule="atLeast"/>
        <w:ind w:firstLine="54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小堡村地处北京东郊，20世纪90年代，由于承接圆明园画家村的搬迁，由从事传统种植业的农村转型为画家集聚的空间。小堡村继承了圆明园画家村的现当代艺术精神和文化氛围，其艺术空间的发展经历了四个阶段(如图)。2012年之后，小堡村艺术空间形态变化速度趋缓。据此完成下面小题。</w:t>
      </w:r>
    </w:p>
    <w:p>
      <w:pPr>
        <w:wordWrap w:val="0"/>
        <w:spacing w:line="0" w:lineRule="atLeast"/>
        <w:jc w:val="center"/>
        <w:textAlignment w:val="baseline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4516120" cy="1876425"/>
            <wp:effectExtent l="0" t="0" r="0" b="0"/>
            <wp:docPr id="4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18056" cy="1877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340" w:lineRule="exact"/>
        <w:jc w:val="center"/>
        <w:textAlignment w:val="baseline"/>
        <w:rPr>
          <w:sz w:val="20"/>
          <w:szCs w:val="20"/>
        </w:rPr>
      </w:pPr>
    </w:p>
    <w:p>
      <w:pPr>
        <w:wordWrap w:val="0"/>
        <w:spacing w:line="340" w:lineRule="atLeast"/>
        <w:textAlignment w:val="baseline"/>
        <w:rPr>
          <w:sz w:val="20"/>
          <w:szCs w:val="20"/>
        </w:rPr>
        <w:sectPr>
          <w:pgSz w:w="11900" w:h="16820"/>
          <w:pgMar w:top="700" w:right="880" w:bottom="700" w:left="880" w:header="720" w:footer="720" w:gutter="0"/>
          <w:cols w:space="720" w:num="1"/>
        </w:sect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                             地理试卷  第1页, 共6页</w:t>
      </w:r>
    </w:p>
    <w:p>
      <w:pPr>
        <w:wordWrap w:val="0"/>
        <w:spacing w:line="340" w:lineRule="atLeast"/>
        <w:ind w:left="20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4.小堡村艺术空间形态变化过程中，可能减少的用地类型是 (  )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A.交通建设用地 B.商业用地          C.村民自住用地     D.会展用地</w:t>
      </w:r>
    </w:p>
    <w:p>
      <w:pPr>
        <w:wordWrap w:val="0"/>
        <w:spacing w:line="340" w:lineRule="atLeast"/>
        <w:ind w:left="20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5.与共生阶段相比，小堡村爆发阶段(  )</w:t>
      </w:r>
    </w:p>
    <w:p>
      <w:pPr>
        <w:wordWrap w:val="0"/>
        <w:spacing w:before="8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①入驻门槛较高 ②投资主体多元    ③治安管理难度增大 ④商业利润低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A. ①③          B. ①④           C. ②③            D. ②④</w:t>
      </w:r>
    </w:p>
    <w:p>
      <w:pPr>
        <w:wordWrap w:val="0"/>
        <w:spacing w:before="80" w:line="340" w:lineRule="atLeast"/>
        <w:ind w:left="20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6.2012年之后，小堡村艺术空间形态变化速度趋缓，主要是因为 (  )</w:t>
      </w:r>
    </w:p>
    <w:p>
      <w:pPr>
        <w:wordWrap w:val="0"/>
        <w:spacing w:before="10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A.土地租金上涨                     B.开发接近饱和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C.当地村民外迁                     D.艺术市场萎缩</w:t>
      </w:r>
    </w:p>
    <w:p>
      <w:pPr>
        <w:wordWrap w:val="0"/>
        <w:spacing w:line="340" w:lineRule="atLeast"/>
        <w:ind w:left="200" w:firstLine="400"/>
        <w:textAlignment w:val="baseline"/>
        <w:rPr>
          <w:sz w:val="20"/>
          <w:szCs w:val="20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3942715</wp:posOffset>
            </wp:positionH>
            <wp:positionV relativeFrom="paragraph">
              <wp:posOffset>548640</wp:posOffset>
            </wp:positionV>
            <wp:extent cx="1752600" cy="2105025"/>
            <wp:effectExtent l="0" t="0" r="635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381" cy="2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000000"/>
          <w:sz w:val="20"/>
          <w:szCs w:val="20"/>
        </w:rPr>
        <w:t>城镇化是区域城镇和乡村人口变动共同作用的结果。有研究从城乡人口变动的视角划分城镇化地域类型(划分方法如下图所示)，并发现中国的城镇化实现路径存在较强的时空动态性。结合我国城乡人口变化表，据此完成下面小题。</w:t>
      </w:r>
      <w:r>
        <w:rPr>
          <w:sz w:val="18"/>
          <w:szCs w:val="20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1651000</wp:posOffset>
            </wp:positionH>
            <wp:positionV relativeFrom="paragraph">
              <wp:posOffset>698500</wp:posOffset>
            </wp:positionV>
            <wp:extent cx="1943100" cy="1384300"/>
            <wp:effectExtent l="0" t="0" r="0" b="0"/>
            <wp:wrapNone/>
            <wp:docPr id="6" name="Draw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38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ordWrap w:val="0"/>
        <w:spacing w:before="120" w:line="340" w:lineRule="atLeast"/>
        <w:ind w:left="200"/>
        <w:textAlignment w:val="baseline"/>
        <w:rPr>
          <w:rFonts w:ascii="宋体" w:hAnsi="宋体" w:eastAsia="宋体" w:cs="宋体"/>
          <w:color w:val="000000"/>
          <w:sz w:val="20"/>
          <w:szCs w:val="20"/>
        </w:rPr>
      </w:pPr>
    </w:p>
    <w:p>
      <w:pPr>
        <w:wordWrap w:val="0"/>
        <w:spacing w:before="120" w:line="340" w:lineRule="atLeast"/>
        <w:ind w:left="200"/>
        <w:textAlignment w:val="baseline"/>
        <w:rPr>
          <w:rFonts w:ascii="宋体" w:hAnsi="宋体" w:eastAsia="宋体" w:cs="宋体"/>
          <w:color w:val="000000"/>
          <w:sz w:val="20"/>
          <w:szCs w:val="20"/>
        </w:rPr>
      </w:pPr>
    </w:p>
    <w:p>
      <w:pPr>
        <w:wordWrap w:val="0"/>
        <w:spacing w:before="120" w:line="340" w:lineRule="atLeast"/>
        <w:ind w:left="200"/>
        <w:textAlignment w:val="baseline"/>
        <w:rPr>
          <w:rFonts w:ascii="宋体" w:hAnsi="宋体" w:eastAsia="宋体" w:cs="宋体"/>
          <w:color w:val="000000"/>
          <w:sz w:val="20"/>
          <w:szCs w:val="20"/>
        </w:rPr>
      </w:pPr>
    </w:p>
    <w:p>
      <w:pPr>
        <w:wordWrap w:val="0"/>
        <w:spacing w:before="120" w:line="340" w:lineRule="atLeast"/>
        <w:ind w:left="200"/>
        <w:textAlignment w:val="baseline"/>
        <w:rPr>
          <w:rFonts w:ascii="宋体" w:hAnsi="宋体" w:eastAsia="宋体" w:cs="宋体"/>
          <w:color w:val="000000"/>
          <w:sz w:val="20"/>
          <w:szCs w:val="20"/>
        </w:rPr>
      </w:pPr>
    </w:p>
    <w:p>
      <w:pPr>
        <w:wordWrap w:val="0"/>
        <w:spacing w:before="120" w:line="340" w:lineRule="atLeast"/>
        <w:ind w:left="200"/>
        <w:textAlignment w:val="baseline"/>
        <w:rPr>
          <w:rFonts w:ascii="宋体" w:hAnsi="宋体" w:eastAsia="宋体" w:cs="宋体"/>
          <w:color w:val="000000"/>
          <w:sz w:val="20"/>
          <w:szCs w:val="20"/>
        </w:rPr>
      </w:pPr>
    </w:p>
    <w:p>
      <w:pPr>
        <w:wordWrap w:val="0"/>
        <w:spacing w:before="120" w:line="340" w:lineRule="atLeast"/>
        <w:ind w:left="20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7.若处于图中阴影区间，反映区域 (  )</w:t>
      </w:r>
    </w:p>
    <w:p>
      <w:pPr>
        <w:wordWrap w:val="0"/>
        <w:spacing w:before="10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A.城镇化速度提升                   B.城镇化速度降低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C.城镇化水平提升                   D.城镇化水平降低</w:t>
      </w:r>
    </w:p>
    <w:p>
      <w:pPr>
        <w:wordWrap w:val="0"/>
        <w:spacing w:before="80" w:line="340" w:lineRule="atLeast"/>
        <w:ind w:left="20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8.近三十年来，我国各地最主要的城镇化地域类型为(  )</w:t>
      </w:r>
    </w:p>
    <w:p>
      <w:pPr>
        <w:wordWrap w:val="0"/>
        <w:spacing w:before="10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A.城乡扩张型城镇化                 B.城镇吸引型城镇化</w:t>
      </w:r>
    </w:p>
    <w:p>
      <w:pPr>
        <w:wordWrap w:val="0"/>
        <w:spacing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C.乡村流失型城镇化                 D.城乡收缩型城镇化</w:t>
      </w:r>
    </w:p>
    <w:p>
      <w:pPr>
        <w:wordWrap w:val="0"/>
        <w:spacing w:line="340" w:lineRule="atLeast"/>
        <w:ind w:left="20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9.精准扶贫、乡村振兴等政策可能使西南地区城镇化 (  )</w:t>
      </w:r>
    </w:p>
    <w:p>
      <w:pPr>
        <w:wordWrap w:val="0"/>
        <w:spacing w:before="10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A.从乡村流失型转为城镇吸引型       B.从乡村流失型转为城乡扩张型</w:t>
      </w:r>
    </w:p>
    <w:p>
      <w:pPr>
        <w:wordWrap w:val="0"/>
        <w:spacing w:before="100" w:line="34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C.从城镇吸引型转为乡村流失型       D.从城镇吸引型转为城乡收缩型</w:t>
      </w:r>
    </w:p>
    <w:p>
      <w:pPr>
        <w:wordWrap w:val="0"/>
        <w:spacing w:line="340" w:lineRule="atLeast"/>
        <w:ind w:right="140" w:firstLine="54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某地岩溶地貌发育，植被覆盖率达77.3%。科学家在该地测得深度20cm处土壤CO₂含量有明显的昼夜变化。下图示意该处2021年6月14日土壤CO₂含量、土壤温度、理论光照及天气变化。据此完成下面小题。</w:t>
      </w:r>
    </w:p>
    <w:p>
      <w:pPr>
        <w:wordWrap w:val="0"/>
        <w:spacing w:line="0" w:lineRule="atLeast"/>
        <w:jc w:val="center"/>
        <w:textAlignment w:val="baseline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4406900" cy="1866900"/>
            <wp:effectExtent l="0" t="0" r="0" b="0"/>
            <wp:docPr id="8" name="Draw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69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340" w:lineRule="exact"/>
        <w:jc w:val="center"/>
        <w:textAlignment w:val="baseline"/>
        <w:rPr>
          <w:sz w:val="20"/>
          <w:szCs w:val="20"/>
        </w:rPr>
      </w:pPr>
    </w:p>
    <w:p>
      <w:pPr>
        <w:wordWrap w:val="0"/>
        <w:spacing w:line="340" w:lineRule="atLeast"/>
        <w:textAlignment w:val="baseline"/>
        <w:rPr>
          <w:sz w:val="20"/>
          <w:szCs w:val="20"/>
        </w:rPr>
        <w:sectPr>
          <w:pgSz w:w="11900" w:h="16820"/>
          <w:pgMar w:top="700" w:right="740" w:bottom="700" w:left="740" w:header="720" w:footer="720" w:gutter="0"/>
          <w:cols w:space="720" w:num="1"/>
        </w:sect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                               地理试卷   第2页, 共6页</w:t>
      </w:r>
    </w:p>
    <w:p>
      <w:pPr>
        <w:wordWrap w:val="0"/>
        <w:spacing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10.该地可能位于 (  )</w:t>
      </w:r>
    </w:p>
    <w:p>
      <w:pPr>
        <w:wordWrap w:val="0"/>
        <w:spacing w:before="100"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A.印度半岛                        B.巴尔干半岛</w:t>
      </w:r>
    </w:p>
    <w:p>
      <w:pPr>
        <w:wordWrap w:val="0"/>
        <w:spacing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C. 巴西高原                       D.南非高原</w:t>
      </w:r>
    </w:p>
    <w:p>
      <w:pPr>
        <w:wordWrap w:val="0"/>
        <w:spacing w:before="100"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11. 北京时间14:00~16:00 与土壤CO₂含量变化大致呈正相关的因素是 ( )</w:t>
      </w:r>
    </w:p>
    <w:p>
      <w:pPr>
        <w:wordWrap w:val="0"/>
        <w:spacing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A. 光照                           B. 水分</w:t>
      </w:r>
    </w:p>
    <w:p>
      <w:pPr>
        <w:wordWrap w:val="0"/>
        <w:spacing w:before="100"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C.土壤温度                        D.土壤孔隙</w:t>
      </w:r>
    </w:p>
    <w:p>
      <w:pPr>
        <w:wordWrap w:val="0"/>
        <w:spacing w:before="100"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12. 北京时间23:00~1:00土壤CO₂含量急剧下降, 可能使该处( )</w:t>
      </w:r>
    </w:p>
    <w:p>
      <w:pPr>
        <w:wordWrap w:val="0"/>
        <w:spacing w:before="100"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A.土地肥力下降                    B.溶蚀作用增强</w:t>
      </w:r>
    </w:p>
    <w:p>
      <w:pPr>
        <w:wordWrap w:val="0"/>
        <w:spacing w:before="100"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C.微生物活动减弱                  D.水土流失加剧</w:t>
      </w:r>
    </w:p>
    <w:p>
      <w:pPr>
        <w:wordWrap w:val="0"/>
        <w:spacing w:line="320" w:lineRule="atLeast"/>
        <w:ind w:right="40" w:firstLine="54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斯曼通湖是位于北美某封闭盆地的山地湖泊，补给水源来自降水和地下水。该湖湖岸陡峭，西侧有较多崩积物，其上部生长着茂盛的草本和灌木植物。某研究团队以斯曼通湖为样地研究气候变化，认为在该地能够找到沉积物证据反映千年来气候的变化。下图示意斯曼通湖周边地形及崩积物的位置。据此完成下面小题。</w:t>
      </w:r>
    </w:p>
    <w:p>
      <w:pPr>
        <w:wordWrap w:val="0"/>
        <w:spacing w:line="0" w:lineRule="atLeast"/>
        <w:jc w:val="center"/>
        <w:textAlignment w:val="baseline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4216400" cy="2362200"/>
            <wp:effectExtent l="0" t="0" r="0" b="0"/>
            <wp:docPr id="10" name="Draw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164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13.该湖周边崩积物主要来自 (  )</w:t>
      </w:r>
    </w:p>
    <w:p>
      <w:pPr>
        <w:wordWrap w:val="0"/>
        <w:spacing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A.就地风化           B.冰川搬运           C.湖水搬运             D.滑坡、坍塌</w:t>
      </w:r>
    </w:p>
    <w:p>
      <w:pPr>
        <w:wordWrap w:val="0"/>
        <w:spacing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14.与该湖能较好反映千年来气候变化关系较小的因素是(  )</w:t>
      </w:r>
    </w:p>
    <w:p>
      <w:pPr>
        <w:wordWrap w:val="0"/>
        <w:spacing w:before="100"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A.沉积层较为深厚      B.周边有次生植被    C.周边环境较封闭       D.沉积层保存完整</w:t>
      </w:r>
    </w:p>
    <w:p>
      <w:pPr>
        <w:wordWrap w:val="0"/>
        <w:spacing w:before="100"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15.该湖周边崩积物上生长着较茂盛的草木，说明(  )</w:t>
      </w:r>
    </w:p>
    <w:p>
      <w:pPr>
        <w:wordWrap w:val="0"/>
        <w:spacing w:before="100" w:line="320" w:lineRule="atLeast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A.原生有机质高       B.崩积物粒径小       C.年降水量丰富         D.崩积时间较久</w:t>
      </w:r>
    </w:p>
    <w:p>
      <w:pPr>
        <w:wordWrap w:val="0"/>
        <w:spacing w:line="320" w:lineRule="exact"/>
        <w:textAlignment w:val="baseline"/>
        <w:rPr>
          <w:sz w:val="20"/>
          <w:szCs w:val="20"/>
        </w:rPr>
      </w:pPr>
    </w:p>
    <w:p>
      <w:pPr>
        <w:wordWrap w:val="0"/>
        <w:spacing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二、综合题。3小题,共55分。</w:t>
      </w:r>
    </w:p>
    <w:p>
      <w:pPr>
        <w:wordWrap w:val="0"/>
        <w:spacing w:before="120" w:line="320" w:lineRule="atLeast"/>
        <w:ind w:left="16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16.阅读图文材料，完成下列要求。(18分)</w:t>
      </w:r>
    </w:p>
    <w:p>
      <w:pPr>
        <w:wordWrap w:val="0"/>
        <w:spacing w:line="320" w:lineRule="atLeast"/>
        <w:ind w:firstLine="540"/>
        <w:textAlignment w:val="baseline"/>
        <w:rPr>
          <w:sz w:val="20"/>
          <w:szCs w:val="20"/>
        </w:rPr>
      </w:pPr>
      <w:r>
        <w:rPr>
          <w:rFonts w:ascii="宋体" w:hAnsi="宋体" w:eastAsia="宋体" w:cs="宋体"/>
          <w:color w:val="000000"/>
          <w:sz w:val="20"/>
          <w:szCs w:val="20"/>
        </w:rPr>
        <w:t>珠三角村级工业园是工业化初级阶段的历史产物，是由集体经济驱动、以乡镇企业为主导形成的工业园区。江门市朗围工业园位于江门北部，始建于2007年，主要为帐篷、制伞、五金等传统产业。近年来，朗围工业园部分厂房内部拆分后进行小型化分租。当地村民对朗围工业园改造意愿强烈。2021年朗围工业园开始采用“政府主导+资本协作+公众参与”的模式进行改造.包括镇政府、国资委、承包商、金融机构、村集体与村民等在内的多元主体都参与到改造过程中。朗围工业园积极对接粤港澳大湾区，预计未来10年，将容纳50家科技创新企业，为本地区提供5000个以上的就业机会，增加约5亿元的财税收入。下图示意朗围工业园的位置。</w:t>
      </w:r>
    </w:p>
    <w:p>
      <w:pPr>
        <w:wordWrap w:val="0"/>
        <w:spacing w:line="320" w:lineRule="exact"/>
        <w:textAlignment w:val="baseline"/>
        <w:rPr>
          <w:sz w:val="20"/>
          <w:szCs w:val="20"/>
        </w:rPr>
      </w:pPr>
    </w:p>
    <w:p>
      <w:pPr>
        <w:wordWrap w:val="0"/>
        <w:spacing w:line="320" w:lineRule="atLeast"/>
        <w:textAlignment w:val="baseline"/>
        <w:rPr>
          <w:sz w:val="20"/>
          <w:szCs w:val="20"/>
        </w:rPr>
        <w:sectPr>
          <w:pgSz w:w="11900" w:h="16820"/>
          <w:pgMar w:top="700" w:right="820" w:bottom="700" w:left="820" w:header="720" w:footer="720" w:gutter="0"/>
          <w:cols w:space="720" w:num="1"/>
        </w:sectPr>
      </w:pPr>
      <w:r>
        <w:rPr>
          <w:rFonts w:ascii="宋体" w:hAnsi="宋体" w:eastAsia="宋体" w:cs="宋体"/>
          <w:color w:val="000000"/>
          <w:sz w:val="20"/>
          <w:szCs w:val="20"/>
        </w:rPr>
        <w:t xml:space="preserve">                                    地理试卷  第3页, 共6页</w:t>
      </w:r>
    </w:p>
    <w:p>
      <w:pPr>
        <w:wordWrap w:val="0"/>
        <w:spacing w:line="0" w:lineRule="atLeast"/>
        <w:jc w:val="center"/>
        <w:textAlignment w:val="baseline"/>
      </w:pPr>
      <w:r>
        <w:drawing>
          <wp:inline distT="0" distB="0" distL="0" distR="0">
            <wp:extent cx="4495800" cy="3086100"/>
            <wp:effectExtent l="0" t="0" r="0" b="0"/>
            <wp:docPr id="12" name="Draw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before="80" w:line="280" w:lineRule="atLeast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(1)简述近年来朗围工业园出现厂房小型化分租现象的原因。(6分)</w:t>
      </w:r>
    </w:p>
    <w:p>
      <w:pPr>
        <w:wordWrap w:val="0"/>
        <w:spacing w:before="160" w:line="280" w:lineRule="atLeast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(2)当地村民对朗围工业园改造意愿强烈，对此做出合理解释。(6分)</w:t>
      </w:r>
    </w:p>
    <w:p>
      <w:pPr>
        <w:wordWrap w:val="0"/>
        <w:spacing w:before="180" w:line="280" w:lineRule="atLeast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(3)分析“政府主导+资本协作+公众参与”模式对朗围工业园改造的意义。(6分)</w:t>
      </w: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60" w:lineRule="exact"/>
        <w:textAlignment w:val="baseline"/>
        <w:rPr>
          <w:sz w:val="20"/>
        </w:rPr>
      </w:pPr>
    </w:p>
    <w:p>
      <w:pPr>
        <w:wordWrap w:val="0"/>
        <w:spacing w:line="280" w:lineRule="atLeast"/>
        <w:textAlignment w:val="baseline"/>
        <w:rPr>
          <w:sz w:val="20"/>
        </w:rPr>
        <w:sectPr>
          <w:pgSz w:w="11900" w:h="16820"/>
          <w:pgMar w:top="700" w:right="1480" w:bottom="700" w:left="1480" w:header="720" w:footer="720" w:gutter="0"/>
          <w:cols w:space="720" w:num="1"/>
        </w:sectPr>
      </w:pPr>
      <w:r>
        <w:rPr>
          <w:rFonts w:ascii="宋体" w:hAnsi="宋体" w:eastAsia="宋体" w:cs="宋体"/>
          <w:color w:val="000000"/>
          <w:sz w:val="20"/>
        </w:rPr>
        <w:t xml:space="preserve">                                   地理试卷   第4页, 共6页</w:t>
      </w:r>
    </w:p>
    <w:p>
      <w:pPr>
        <w:wordWrap w:val="0"/>
        <w:spacing w:line="440" w:lineRule="atLeast"/>
        <w:ind w:left="8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17.阅读图文材料，完成下列要求。(19分)</w:t>
      </w:r>
    </w:p>
    <w:p>
      <w:pPr>
        <w:wordWrap w:val="0"/>
        <w:spacing w:line="440" w:lineRule="atLeast"/>
        <w:ind w:firstLine="54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须浮鸥是一种体长25厘米的浅色燕鸥，主要在水面和沼泽地上觅食，取食时扎入浅水，主要以小鱼、虾等为食。上海崇明岛东滩鸟类国家级自然保护区位于长江入海口，滩涂广阔。每年4~6月，须浮鸥前来栖息繁殖，在芦苇丛中营造水面浮巢，受到惊吓则解入丛中。由于滩涂水位不稳定会导致繁殖困难，种群数量难以发展壮大，该自然保护区尝试用木板、钢丝等材料将巢穴固定，筑造人工浮巢。下图示意上海崇明岛东滩地理位置及须浮鸥浮巢的分布。</w:t>
      </w:r>
    </w:p>
    <w:p>
      <w:pPr>
        <w:wordWrap w:val="0"/>
        <w:spacing w:line="0" w:lineRule="atLeast"/>
        <w:jc w:val="center"/>
        <w:textAlignment w:val="baseline"/>
      </w:pPr>
      <w:r>
        <w:drawing>
          <wp:inline distT="0" distB="0" distL="0" distR="0">
            <wp:extent cx="6007100" cy="1803400"/>
            <wp:effectExtent l="0" t="0" r="0" b="0"/>
            <wp:docPr id="14" name="Draw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0710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440" w:lineRule="atLeast"/>
        <w:ind w:left="8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(1)描述图示区域须浮鸥浮巢的空间分布特征，并说明该自然保护区筑造人工浮巢的益处。(7分)</w:t>
      </w:r>
    </w:p>
    <w:p>
      <w:pPr>
        <w:wordWrap w:val="0"/>
        <w:spacing w:before="160" w:line="440" w:lineRule="atLeast"/>
        <w:ind w:left="8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(2)分析须浮鸥4~6月来上海崇明岛东滩滩涂栖息繁殖的原因。(6分)</w:t>
      </w:r>
    </w:p>
    <w:p>
      <w:pPr>
        <w:wordWrap w:val="0"/>
        <w:spacing w:line="440" w:lineRule="atLeast"/>
        <w:ind w:left="8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(3)说明须浮鸥繁殖期内多在芦苇丛中筑巢的原因。(6分)</w:t>
      </w: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exact"/>
        <w:textAlignment w:val="baseline"/>
        <w:rPr>
          <w:sz w:val="20"/>
        </w:rPr>
      </w:pPr>
    </w:p>
    <w:p>
      <w:pPr>
        <w:wordWrap w:val="0"/>
        <w:spacing w:line="440" w:lineRule="atLeast"/>
        <w:jc w:val="center"/>
        <w:textAlignment w:val="baseline"/>
        <w:rPr>
          <w:sz w:val="20"/>
        </w:rPr>
        <w:sectPr>
          <w:pgSz w:w="11900" w:h="16820"/>
          <w:pgMar w:top="700" w:right="860" w:bottom="700" w:left="860" w:header="720" w:footer="720" w:gutter="0"/>
          <w:cols w:space="720" w:num="1"/>
        </w:sectPr>
      </w:pPr>
      <w:r>
        <w:rPr>
          <w:rFonts w:ascii="宋体" w:hAnsi="宋体" w:eastAsia="宋体" w:cs="宋体"/>
          <w:color w:val="000000"/>
          <w:sz w:val="20"/>
        </w:rPr>
        <w:t>地理试卷  第5页，共6页</w:t>
      </w:r>
    </w:p>
    <w:p>
      <w:pPr>
        <w:wordWrap w:val="0"/>
        <w:spacing w:line="340" w:lineRule="atLeast"/>
        <w:ind w:left="4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18.阅读图文材料，完成下列要求。(18分)</w:t>
      </w:r>
    </w:p>
    <w:p>
      <w:pPr>
        <w:wordWrap w:val="0"/>
        <w:spacing w:line="340" w:lineRule="atLeast"/>
        <w:ind w:firstLine="56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长江源地区水系演化是对构造活动和气候变化的响应过程。研究证据表明长江源区通 天河与澜沧江之间宽阔平坦的分水岭上，在晚第四纪发育了一条西北—东南向古河流，随后 该区域在构造运动和侵蚀基准面(河流垂直下切侵蚀的界限，其升降会引起其上游河段的冲淤变化)变化的影响下发生水系演变。下图示意长江源地区晚第四纪水系演变过程。</w:t>
      </w:r>
    </w:p>
    <w:p>
      <w:pPr>
        <w:wordWrap w:val="0"/>
        <w:spacing w:line="0" w:lineRule="atLeast"/>
        <w:jc w:val="center"/>
        <w:textAlignment w:val="baseline"/>
      </w:pPr>
      <w:r>
        <w:drawing>
          <wp:inline distT="0" distB="0" distL="0" distR="0">
            <wp:extent cx="5410200" cy="1485900"/>
            <wp:effectExtent l="0" t="0" r="0" b="0"/>
            <wp:docPr id="16" name="Draw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0" w:lineRule="atLeast"/>
        <w:jc w:val="center"/>
        <w:textAlignment w:val="baseline"/>
      </w:pPr>
      <w:r>
        <w:drawing>
          <wp:inline distT="0" distB="0" distL="0" distR="0">
            <wp:extent cx="5435600" cy="2413000"/>
            <wp:effectExtent l="0" t="0" r="0" b="0"/>
            <wp:docPr id="18" name="Draw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560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0" w:lineRule="atLeast"/>
        <w:jc w:val="center"/>
        <w:textAlignment w:val="baseline"/>
      </w:pPr>
      <w:r>
        <w:drawing>
          <wp:inline distT="0" distB="0" distL="0" distR="0">
            <wp:extent cx="5524500" cy="1612900"/>
            <wp:effectExtent l="0" t="0" r="0" b="0"/>
            <wp:docPr id="20" name="Draw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spacing w:line="340" w:lineRule="atLeast"/>
        <w:ind w:left="4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(1)说明图示区域水系演变过程。(6分)</w:t>
      </w:r>
    </w:p>
    <w:p>
      <w:pPr>
        <w:wordWrap w:val="0"/>
        <w:spacing w:line="340" w:lineRule="atLeast"/>
        <w:ind w:left="40" w:right="10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(2)研究证据表明通天河与澜沧江之间宽阔平坦的分水岭上，AB 段曾经为贯通的西北—东南向古河流。推测获取的主要研究证据。(6分)</w:t>
      </w:r>
    </w:p>
    <w:p>
      <w:pPr>
        <w:wordWrap w:val="0"/>
        <w:spacing w:line="340" w:lineRule="atLeast"/>
        <w:ind w:left="40"/>
        <w:textAlignment w:val="baseline"/>
        <w:rPr>
          <w:sz w:val="20"/>
        </w:rPr>
      </w:pPr>
      <w:r>
        <w:rPr>
          <w:rFonts w:ascii="宋体" w:hAnsi="宋体" w:eastAsia="宋体" w:cs="宋体"/>
          <w:color w:val="000000"/>
          <w:sz w:val="20"/>
        </w:rPr>
        <w:t>(3)判断该区域水系演变三个阶段中B 处河流流量变化情况并分析原因。(6分)</w:t>
      </w: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p>
      <w:pPr>
        <w:wordWrap w:val="0"/>
        <w:spacing w:line="340" w:lineRule="exact"/>
        <w:textAlignment w:val="baseline"/>
        <w:rPr>
          <w:sz w:val="20"/>
        </w:rPr>
      </w:pPr>
    </w:p>
    <w:sectPr>
      <w:pgSz w:w="11900" w:h="16820"/>
      <w:pgMar w:top="700" w:right="820" w:bottom="700" w:left="82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Q3ZTI1ZmI1Y2FlMmIzNzhhYzZhN2VkYzE1MTU3ZGQifQ=="/>
  </w:docVars>
  <w:rsids>
    <w:rsidRoot w:val="00ED631A"/>
    <w:rsid w:val="004151FC"/>
    <w:rsid w:val="005B0B30"/>
    <w:rsid w:val="00C02FC6"/>
    <w:rsid w:val="00ED631A"/>
    <w:rsid w:val="5C6C5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2522</Words>
  <Characters>2713</Characters>
  <TotalTime>0</TotalTime>
  <ScaleCrop>false</ScaleCrop>
  <LinksUpToDate>false</LinksUpToDate>
  <CharactersWithSpaces>3529</CharactersWithSpaces>
  <Application>WPS Office_12.1.0.16399_F1E327BC-269C-435d-A152-05C5408002CA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2024-05-28T06:26:38Z</dcterms:created>
  <dc:creator>Apache POI</dc:creator>
  <cp:lastModifiedBy>Administrator</cp:lastModifiedBy>
  <dcterms:modified xsi:type="dcterms:W3CDTF">2024-05-28T06:26:48Z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5277916723B043EF94311122EB20AD24_12</vt:lpwstr>
  </property>
</Properties>
</file>