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>
      <w:pPr>
        <w:spacing w:after="156" w:afterLines="50" w:line="520" w:lineRule="exact"/>
        <w:ind w:left="1440" w:hanging="1440" w:hangingChars="450"/>
        <w:jc w:val="center"/>
        <w:rPr>
          <w:rFonts w:ascii="黑体" w:eastAsia="黑体" w:hAnsi="宋体" w:hint="eastAsia"/>
          <w:w w:val="90"/>
          <w:sz w:val="32"/>
          <w:szCs w:val="32"/>
        </w:rPr>
      </w:pPr>
      <w:r>
        <w:rPr>
          <w:rFonts w:ascii="黑体" w:eastAsia="黑体" w:hAnsi="宋体" w:hint="eastAsia"/>
          <w:w w:val="9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12433300</wp:posOffset>
            </wp:positionH>
            <wp:positionV relativeFrom="topMargin">
              <wp:posOffset>11214100</wp:posOffset>
            </wp:positionV>
            <wp:extent cx="317500" cy="266700"/>
            <wp:effectExtent l="0" t="0" r="6350" b="0"/>
            <wp:wrapNone/>
            <wp:docPr id="100072" name="图片 1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" name="图片 1000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宋体" w:hint="eastAsia"/>
          <w:w w:val="90"/>
          <w:sz w:val="32"/>
          <w:szCs w:val="32"/>
        </w:rPr>
        <w:t>福建省福州市八县市一中2023-2024学年下学期高三模拟联考</w:t>
      </w:r>
    </w:p>
    <w:p>
      <w:pPr>
        <w:spacing w:after="156" w:afterLines="50" w:line="520" w:lineRule="exact"/>
        <w:ind w:left="1620" w:hanging="1620" w:hangingChars="450"/>
        <w:jc w:val="center"/>
        <w:rPr>
          <w:rFonts w:eastAsia="方正美黑简体"/>
          <w:sz w:val="36"/>
        </w:rPr>
      </w:pPr>
      <w:r>
        <w:rPr>
          <w:rFonts w:eastAsia="方正美黑简体" w:hint="eastAsia"/>
          <w:sz w:val="36"/>
        </w:rPr>
        <w:t>地理科试卷</w:t>
      </w:r>
    </w:p>
    <w:p>
      <w:pPr>
        <w:spacing w:line="380" w:lineRule="exact"/>
        <w:ind w:left="1080" w:hanging="1080" w:hangingChars="4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 xml:space="preserve"> </w:t>
      </w:r>
      <w:r>
        <w:rPr>
          <w:rFonts w:ascii="宋体" w:hAnsi="宋体"/>
          <w:b/>
          <w:sz w:val="24"/>
          <w:szCs w:val="24"/>
        </w:rPr>
        <w:t xml:space="preserve"> </w:t>
      </w:r>
      <w:r>
        <w:rPr>
          <w:rFonts w:ascii="宋体" w:hAnsi="宋体" w:hint="eastAsia"/>
          <w:b/>
          <w:spacing w:val="6"/>
          <w:sz w:val="24"/>
          <w:szCs w:val="24"/>
        </w:rPr>
        <w:t>完卷时</w:t>
      </w:r>
      <w:r>
        <w:rPr>
          <w:rFonts w:ascii="宋体" w:hAnsi="宋体" w:hint="eastAsia"/>
          <w:b/>
          <w:sz w:val="24"/>
          <w:szCs w:val="24"/>
        </w:rPr>
        <w:t>间：</w:t>
      </w:r>
      <w:r>
        <w:rPr>
          <w:rFonts w:ascii="宋体" w:hAnsi="宋体" w:hint="eastAsia"/>
          <w:sz w:val="24"/>
          <w:szCs w:val="24"/>
        </w:rPr>
        <w:t xml:space="preserve">75分钟   </w:t>
      </w:r>
      <w:r>
        <w:rPr>
          <w:rFonts w:ascii="宋体" w:hAnsi="宋体" w:hint="eastAsia"/>
          <w:sz w:val="24"/>
          <w:szCs w:val="24"/>
          <w:lang w:val="en-US" w:eastAsia="zh-CN"/>
        </w:rPr>
        <w:t xml:space="preserve"> 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b/>
          <w:sz w:val="24"/>
          <w:szCs w:val="24"/>
        </w:rPr>
        <w:t>满分：</w:t>
      </w:r>
      <w:r>
        <w:rPr>
          <w:rFonts w:ascii="宋体" w:hAnsi="宋体" w:hint="eastAsia"/>
          <w:sz w:val="24"/>
          <w:szCs w:val="24"/>
        </w:rPr>
        <w:t>100分</w:t>
      </w:r>
    </w:p>
    <w:p>
      <w:pPr>
        <w:spacing w:line="360" w:lineRule="exact"/>
        <w:ind w:firstLine="418" w:firstLineChars="199"/>
        <w:rPr>
          <w:rFonts w:ascii="方正楷体简体" w:eastAsia="方正楷体简体"/>
          <w:sz w:val="28"/>
          <w:szCs w:val="28"/>
        </w:rPr>
      </w:pPr>
      <w:r>
        <w:rPr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92075</wp:posOffset>
                </wp:positionV>
                <wp:extent cx="5372100" cy="0"/>
                <wp:effectExtent l="0" t="1905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5" style="flip:y;mso-height-relative:page;mso-width-relative:page;position:absolute;z-index:251660288" from="18pt,7.25pt" to="441pt,7.25pt" coordsize="21600,21600" stroked="t" strokecolor="black" strokeweight="2.25pt">
                <v:stroke joinstyle="round"/>
                <o:lock v:ext="edit" aspectratio="f"/>
              </v:line>
            </w:pict>
          </mc:Fallback>
        </mc:AlternateContent>
      </w:r>
    </w:p>
    <w:p>
      <w:pPr>
        <w:rPr>
          <w:rFonts w:ascii="楷体" w:eastAsia="楷体" w:hAnsi="楷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一、选择题（共16小题，每小题3分，共48分，每题只有一个答案是正确的。）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楷体" w:eastAsia="楷体" w:hAnsi="楷体" w:cs="楷体" w:hint="eastAsia"/>
          <w:color w:val="auto"/>
          <w:sz w:val="24"/>
          <w:szCs w:val="24"/>
        </w:rPr>
        <w:t>安徽省六安市自古盛产皖西白鹅，是远近闻名的“白鹅之乡”。随着饲养规模的扩大，政府积极引导企业生产多样的皖西白鹅深加工系列产品。2023年12月，第七届国际羽绒博览会在六安举行，国内外100多家羽毛羽绒及设备生产的知名企业参展。据此完成下面小题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color w:val="auto"/>
          <w:sz w:val="24"/>
          <w:szCs w:val="24"/>
        </w:rPr>
        <w:t>1. 六安市成为“白鹅之乡”是由于当地（   ）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A. 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水域面积开阔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  <w:lang w:val="en-US" w:eastAsia="zh-CN"/>
        </w:rPr>
        <w:t xml:space="preserve"> </w:t>
      </w:r>
      <w:r>
        <w:rPr>
          <w:rFonts w:ascii="宋体" w:hAnsi="宋体" w:cs="宋体" w:hint="eastAsia"/>
          <w:sz w:val="24"/>
          <w:szCs w:val="24"/>
          <w:lang w:val="en-US" w:eastAsia="zh-CN"/>
        </w:rPr>
        <w:t xml:space="preserve">                     </w:t>
      </w:r>
      <w:r>
        <w:rPr>
          <w:rFonts w:ascii="宋体" w:eastAsia="宋体" w:hAnsi="宋体" w:cs="宋体" w:hint="eastAsia"/>
          <w:sz w:val="24"/>
          <w:szCs w:val="24"/>
        </w:rPr>
        <w:t xml:space="preserve">B. 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养殖历史悠久</w:t>
      </w:r>
      <w:r>
        <w:rPr>
          <w:rFonts w:ascii="宋体" w:eastAsia="宋体" w:hAnsi="宋体" w:cs="宋体" w:hint="eastAsia"/>
          <w:sz w:val="24"/>
          <w:szCs w:val="24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color w:val="auto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C. 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从业人数较多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hAnsi="宋体" w:cs="宋体" w:hint="eastAsia"/>
          <w:sz w:val="24"/>
          <w:szCs w:val="24"/>
          <w:lang w:val="en-US" w:eastAsia="zh-CN"/>
        </w:rPr>
        <w:t xml:space="preserve">                      </w:t>
      </w:r>
      <w:r>
        <w:rPr>
          <w:rFonts w:ascii="宋体" w:eastAsia="宋体" w:hAnsi="宋体" w:cs="宋体" w:hint="eastAsia"/>
          <w:sz w:val="24"/>
          <w:szCs w:val="24"/>
        </w:rPr>
        <w:t xml:space="preserve">D. 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政府政策支持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color w:val="auto"/>
          <w:sz w:val="24"/>
          <w:szCs w:val="24"/>
        </w:rPr>
        <w:t>2. 国际羽绒博览会的举办将促使六安白鹅产业（   ）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A. 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产业转型加速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hAnsi="宋体" w:cs="宋体" w:hint="eastAsia"/>
          <w:sz w:val="24"/>
          <w:szCs w:val="24"/>
          <w:lang w:val="en-US" w:eastAsia="zh-CN"/>
        </w:rPr>
        <w:t xml:space="preserve">                      </w:t>
      </w:r>
      <w:r>
        <w:rPr>
          <w:rFonts w:ascii="宋体" w:eastAsia="宋体" w:hAnsi="宋体" w:cs="宋体" w:hint="eastAsia"/>
          <w:sz w:val="24"/>
          <w:szCs w:val="24"/>
        </w:rPr>
        <w:t xml:space="preserve">B. 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同类企业兼并</w:t>
      </w:r>
      <w:r>
        <w:rPr>
          <w:rFonts w:ascii="宋体" w:eastAsia="宋体" w:hAnsi="宋体" w:cs="宋体" w:hint="eastAsia"/>
          <w:sz w:val="24"/>
          <w:szCs w:val="24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color w:val="auto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C. 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贸易规模扩大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hAnsi="宋体" w:cs="宋体" w:hint="eastAsia"/>
          <w:sz w:val="24"/>
          <w:szCs w:val="24"/>
          <w:lang w:val="en-US" w:eastAsia="zh-CN"/>
        </w:rPr>
        <w:t xml:space="preserve">                      </w:t>
      </w:r>
      <w:r>
        <w:rPr>
          <w:rFonts w:ascii="宋体" w:eastAsia="宋体" w:hAnsi="宋体" w:cs="宋体" w:hint="eastAsia"/>
          <w:sz w:val="24"/>
          <w:szCs w:val="24"/>
        </w:rPr>
        <w:t xml:space="preserve">D. 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合作区域集中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color w:val="auto"/>
          <w:sz w:val="24"/>
          <w:szCs w:val="24"/>
        </w:rPr>
        <w:t>3. 皖西白鹅深加工项目可以重点发展（   ）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A. 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生制品、预制菜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hAnsi="宋体" w:cs="宋体" w:hint="eastAsia"/>
          <w:sz w:val="24"/>
          <w:szCs w:val="24"/>
          <w:lang w:val="en-US" w:eastAsia="zh-CN"/>
        </w:rPr>
        <w:t xml:space="preserve">                      </w:t>
      </w:r>
      <w:r>
        <w:rPr>
          <w:rFonts w:ascii="宋体" w:eastAsia="宋体" w:hAnsi="宋体" w:cs="宋体" w:hint="eastAsia"/>
          <w:sz w:val="24"/>
          <w:szCs w:val="24"/>
        </w:rPr>
        <w:t xml:space="preserve">B. 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羽毛球、羽绒被</w:t>
      </w:r>
      <w:r>
        <w:rPr>
          <w:rFonts w:ascii="宋体" w:eastAsia="宋体" w:hAnsi="宋体" w:cs="宋体" w:hint="eastAsia"/>
          <w:sz w:val="24"/>
          <w:szCs w:val="24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C. 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鹅饲养、鹅孵化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hAnsi="宋体" w:cs="宋体" w:hint="eastAsia"/>
          <w:sz w:val="24"/>
          <w:szCs w:val="24"/>
          <w:lang w:val="en-US" w:eastAsia="zh-CN"/>
        </w:rPr>
        <w:t xml:space="preserve">                      </w:t>
      </w:r>
      <w:r>
        <w:rPr>
          <w:rFonts w:ascii="宋体" w:eastAsia="宋体" w:hAnsi="宋体" w:cs="宋体" w:hint="eastAsia"/>
          <w:sz w:val="24"/>
          <w:szCs w:val="24"/>
        </w:rPr>
        <w:t xml:space="preserve">D. 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育良种、研好苗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sz w:val="24"/>
          <w:szCs w:val="24"/>
        </w:rPr>
      </w:pPr>
      <w:r>
        <w:rPr>
          <w:rFonts w:ascii="楷体" w:eastAsia="楷体" w:hAnsi="楷体" w:cs="楷体"/>
          <w:sz w:val="24"/>
          <w:szCs w:val="24"/>
        </w:rPr>
        <w:t>OLR指地球大气系统在大气层顶向宇宙放出的长波辐射。多云覆盖时，由于云顶温度较低，OLR值较低，晴天则反之。2020年10月至2021年5月我国华南地区发生罕见旱灾。图</w:t>
      </w:r>
      <w:r>
        <w:rPr>
          <w:rFonts w:ascii="楷体" w:eastAsia="楷体" w:hAnsi="楷体" w:cs="楷体" w:hint="eastAsia"/>
          <w:sz w:val="24"/>
          <w:szCs w:val="24"/>
          <w:lang w:val="en-US" w:eastAsia="zh-CN"/>
        </w:rPr>
        <w:t>1</w:t>
      </w:r>
      <w:r>
        <w:rPr>
          <w:rFonts w:ascii="楷体" w:eastAsia="楷体" w:hAnsi="楷体" w:cs="楷体"/>
          <w:sz w:val="24"/>
          <w:szCs w:val="24"/>
        </w:rPr>
        <w:t>为OLR值多年距平分布图。读图，完成下面小题。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83820</wp:posOffset>
                </wp:positionV>
                <wp:extent cx="3477895" cy="2195830"/>
                <wp:effectExtent l="0" t="0" r="8255" b="1397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77895" cy="2195830"/>
                          <a:chOff x="3736" y="9727"/>
                          <a:chExt cx="5477" cy="3458"/>
                        </a:xfrm>
                      </wpg:grpSpPr>
                      <wps:wsp xmlns:wps="http://schemas.microsoft.com/office/word/2010/wordprocessingShape">
                        <wps:cNvPr id="16" name="文本框 16"/>
                        <wps:cNvSpPr txBox="1"/>
                        <wps:spPr>
                          <a:xfrm>
                            <a:off x="8281" y="11213"/>
                            <a:ext cx="933" cy="4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宋体" w:hint="default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" name="图片 3" descr="@@@ca6d145cda1b4eb39f18051a8121da2f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6" y="9727"/>
                            <a:ext cx="4446" cy="3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273.85pt;height:172.9pt;margin-top:6.6pt;margin-left:101.75pt;mso-height-relative:page;mso-width-relative:page;position:absolute;z-index:251680768" coordorigin="3736,9727" coordsize="5477,3458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o:spid="_x0000_s1027" type="#_x0000_t202" style="width:933;height:438;left:8281;position:absolute;top:11213" coordsize="21600,21600" filled="t" fillcolor="white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eastAsia="宋体" w:hint="default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28" type="#_x0000_t75" alt="@@@ca6d145cda1b4eb39f18051a8121da2f" style="width:4446;height:3458;left:3736;position:absolute;top:9727" coordsize="21600,21600" o:preferrelative="t" filled="f" stroked="f">
                  <v:imagedata r:id="rId7" o:title="" grayscale="t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4</w:t>
      </w:r>
      <w:r>
        <w:rPr>
          <w:sz w:val="24"/>
          <w:szCs w:val="24"/>
        </w:rPr>
        <w:t>．华南旱灾期间（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A．全球正在处于厄尔尼诺事件</w:t>
      </w:r>
      <w:r>
        <w:rPr>
          <w:sz w:val="24"/>
          <w:szCs w:val="24"/>
        </w:rPr>
        <w:tab/>
      </w:r>
      <w:r>
        <w:rPr>
          <w:sz w:val="24"/>
          <w:szCs w:val="24"/>
        </w:rPr>
        <w:t>B．赤道西太平洋盛行上升气流</w:t>
      </w:r>
    </w:p>
    <w:p>
      <w:pPr>
        <w:keepNext w:val="0"/>
        <w:keepLines w:val="0"/>
        <w:pageBreakBefore w:val="0"/>
        <w:widowControl w:val="0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C．秘鲁的沿岸暴雨灾害频发</w:t>
      </w:r>
      <w:r>
        <w:rPr>
          <w:sz w:val="24"/>
          <w:szCs w:val="24"/>
        </w:rPr>
        <w:tab/>
      </w:r>
      <w:r>
        <w:rPr>
          <w:sz w:val="24"/>
          <w:szCs w:val="24"/>
        </w:rPr>
        <w:t>D．信风比多年平均情况减弱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5</w:t>
      </w:r>
      <w:r>
        <w:rPr>
          <w:sz w:val="24"/>
          <w:szCs w:val="24"/>
        </w:rPr>
        <w:t>．推测此次华南地区灾害的原因（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①盛行下沉气流，降水较稀少②地表植被稀疏，日间升温快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③南部低压区，辐合大量水汽④冷空气势力强，冷锋活动多</w:t>
      </w:r>
    </w:p>
    <w:p>
      <w:pPr>
        <w:keepNext w:val="0"/>
        <w:keepLines w:val="0"/>
        <w:pageBreakBefore w:val="0"/>
        <w:widowControl w:val="0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A．①②</w:t>
      </w:r>
      <w:r>
        <w:rPr>
          <w:sz w:val="24"/>
          <w:szCs w:val="24"/>
        </w:rPr>
        <w:tab/>
      </w:r>
      <w:r>
        <w:rPr>
          <w:sz w:val="24"/>
          <w:szCs w:val="24"/>
        </w:rPr>
        <w:t>B．②③</w:t>
      </w:r>
      <w:r>
        <w:rPr>
          <w:sz w:val="24"/>
          <w:szCs w:val="24"/>
        </w:rPr>
        <w:tab/>
      </w:r>
      <w:r>
        <w:rPr>
          <w:sz w:val="24"/>
          <w:szCs w:val="24"/>
        </w:rPr>
        <w:t>C．①③</w:t>
      </w:r>
      <w:r>
        <w:rPr>
          <w:sz w:val="24"/>
          <w:szCs w:val="24"/>
        </w:rPr>
        <w:tab/>
      </w:r>
      <w:r>
        <w:rPr>
          <w:sz w:val="24"/>
          <w:szCs w:val="24"/>
        </w:rPr>
        <w:t>D．①④</w:t>
      </w:r>
    </w:p>
    <w:p>
      <w:pPr>
        <w:shd w:val="clear" w:color="auto" w:fill="auto"/>
        <w:spacing w:line="240" w:lineRule="auto"/>
        <w:ind w:firstLine="420"/>
        <w:jc w:val="left"/>
        <w:textAlignment w:val="center"/>
        <w:rPr>
          <w:rFonts w:ascii="Times New Roman" w:hAnsi="Times New Roman" w:cs="Times New Roman" w:hint="default"/>
          <w:sz w:val="24"/>
          <w:szCs w:val="24"/>
        </w:rPr>
      </w:pPr>
      <w:r>
        <w:rPr>
          <w:rFonts w:ascii="Times New Roman" w:eastAsia="楷体" w:hAnsi="Times New Roman" w:cs="Times New Roman" w:hint="default"/>
          <w:sz w:val="24"/>
          <w:szCs w:val="24"/>
        </w:rPr>
        <w:t>“城市荒野”是指城市中以自然而非人为主导的土地，尤其指那些在自然演替过程中植物呈现自由生长景象的地貌，如自然林地、湿地、无人管理的田园、河流廊道、被遗弃的场地等。在城市开发中，预留并简单整治大片农地任其自然演替是建设“城市荒野”的重要途径。据此完成下面小题。</w:t>
      </w:r>
    </w:p>
    <w:p>
      <w:pPr>
        <w:shd w:val="clear" w:color="auto" w:fill="auto"/>
        <w:spacing w:line="240" w:lineRule="auto"/>
        <w:jc w:val="left"/>
        <w:textAlignment w:val="center"/>
        <w:rPr>
          <w:rFonts w:ascii="Times New Roman" w:hAnsi="Times New Roman" w:cs="Times New Roman" w:hint="default"/>
          <w:sz w:val="24"/>
          <w:szCs w:val="24"/>
        </w:rPr>
      </w:pPr>
      <w:r>
        <w:rPr>
          <w:rFonts w:cs="Times New Roman" w:hint="eastAsia"/>
          <w:sz w:val="24"/>
          <w:szCs w:val="24"/>
          <w:lang w:val="en-US" w:eastAsia="zh-CN"/>
        </w:rPr>
        <w:t>6</w:t>
      </w:r>
      <w:r>
        <w:rPr>
          <w:rFonts w:ascii="Times New Roman" w:hAnsi="Times New Roman" w:cs="Times New Roman" w:hint="default"/>
          <w:sz w:val="24"/>
          <w:szCs w:val="24"/>
        </w:rPr>
        <w:t>．“城市荒野”可以为城市提供的支撑服务功能是（</w:t>
      </w:r>
      <w:r>
        <w:rPr>
          <w:rFonts w:ascii="Times New Roman" w:eastAsia="Times New Roman" w:hAnsi="Times New Roman" w:cs="Times New Roman" w:hint="default"/>
          <w:kern w:val="0"/>
          <w:sz w:val="24"/>
          <w:szCs w:val="24"/>
        </w:rPr>
        <w:t>   </w:t>
      </w:r>
      <w:r>
        <w:rPr>
          <w:rFonts w:ascii="Times New Roman" w:hAnsi="Times New Roman" w:cs="Times New Roman" w:hint="default"/>
          <w:sz w:val="24"/>
          <w:szCs w:val="24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rFonts w:ascii="Times New Roman" w:hAnsi="Times New Roman" w:cs="Times New Roman" w:hint="default"/>
          <w:sz w:val="24"/>
          <w:szCs w:val="24"/>
        </w:rPr>
      </w:pPr>
      <w:r>
        <w:rPr>
          <w:rFonts w:ascii="Times New Roman" w:hAnsi="Times New Roman" w:cs="Times New Roman" w:hint="default"/>
          <w:sz w:val="24"/>
          <w:szCs w:val="24"/>
        </w:rPr>
        <w:t>A．缓解热岛效应</w:t>
      </w:r>
      <w:r>
        <w:rPr>
          <w:rFonts w:ascii="Times New Roman" w:hAnsi="Times New Roman" w:cs="Times New Roman" w:hint="default"/>
          <w:sz w:val="24"/>
          <w:szCs w:val="24"/>
        </w:rPr>
        <w:tab/>
      </w:r>
      <w:r>
        <w:rPr>
          <w:rFonts w:cs="Times New Roman" w:hint="eastAsia"/>
          <w:sz w:val="24"/>
          <w:szCs w:val="24"/>
          <w:lang w:val="en-US" w:eastAsia="zh-CN"/>
        </w:rPr>
        <w:t xml:space="preserve">         </w:t>
      </w:r>
      <w:r>
        <w:rPr>
          <w:rFonts w:ascii="Times New Roman" w:hAnsi="Times New Roman" w:cs="Times New Roman" w:hint="default"/>
          <w:sz w:val="24"/>
          <w:szCs w:val="24"/>
        </w:rPr>
        <w:t>B．提供洁净水源</w:t>
      </w:r>
      <w:r>
        <w:rPr>
          <w:rFonts w:ascii="Times New Roman" w:hAnsi="Times New Roman" w:cs="Times New Roman" w:hint="default"/>
          <w:sz w:val="24"/>
          <w:szCs w:val="24"/>
        </w:rPr>
        <w:tab/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rFonts w:ascii="Times New Roman" w:hAnsi="Times New Roman" w:cs="Times New Roman" w:hint="default"/>
          <w:sz w:val="24"/>
          <w:szCs w:val="24"/>
        </w:rPr>
      </w:pPr>
      <w:r>
        <w:rPr>
          <w:rFonts w:ascii="Times New Roman" w:hAnsi="Times New Roman" w:cs="Times New Roman" w:hint="default"/>
          <w:sz w:val="24"/>
          <w:szCs w:val="24"/>
        </w:rPr>
        <w:t>C．补给地下水量</w:t>
      </w:r>
      <w:r>
        <w:rPr>
          <w:rFonts w:ascii="Times New Roman" w:hAnsi="Times New Roman" w:cs="Times New Roman" w:hint="default"/>
          <w:sz w:val="24"/>
          <w:szCs w:val="24"/>
        </w:rPr>
        <w:tab/>
      </w:r>
      <w:r>
        <w:rPr>
          <w:rFonts w:cs="Times New Roman" w:hint="eastAsia"/>
          <w:sz w:val="24"/>
          <w:szCs w:val="24"/>
          <w:lang w:val="en-US" w:eastAsia="zh-CN"/>
        </w:rPr>
        <w:t xml:space="preserve">         </w:t>
      </w:r>
      <w:r>
        <w:rPr>
          <w:rFonts w:ascii="Times New Roman" w:hAnsi="Times New Roman" w:cs="Times New Roman" w:hint="default"/>
          <w:sz w:val="24"/>
          <w:szCs w:val="24"/>
        </w:rPr>
        <w:t>D．保障粮食安全</w:t>
      </w:r>
    </w:p>
    <w:p>
      <w:pPr>
        <w:shd w:val="clear" w:color="auto" w:fill="auto"/>
        <w:spacing w:line="240" w:lineRule="auto"/>
        <w:jc w:val="left"/>
        <w:textAlignment w:val="center"/>
        <w:rPr>
          <w:rFonts w:ascii="Times New Roman" w:hAnsi="Times New Roman" w:cs="Times New Roman" w:hint="default"/>
          <w:sz w:val="24"/>
          <w:szCs w:val="24"/>
        </w:rPr>
      </w:pPr>
      <w:r>
        <w:rPr>
          <w:rFonts w:cs="Times New Roman" w:hint="eastAsia"/>
          <w:sz w:val="24"/>
          <w:szCs w:val="24"/>
          <w:lang w:val="en-US" w:eastAsia="zh-CN"/>
        </w:rPr>
        <w:t>7</w:t>
      </w:r>
      <w:r>
        <w:rPr>
          <w:rFonts w:ascii="Times New Roman" w:hAnsi="Times New Roman" w:cs="Times New Roman" w:hint="default"/>
          <w:sz w:val="24"/>
          <w:szCs w:val="24"/>
        </w:rPr>
        <w:t>．预留并简单整治大片农地建设“城市荒野”的行为主要发生在（</w:t>
      </w:r>
      <w:r>
        <w:rPr>
          <w:rFonts w:ascii="Times New Roman" w:eastAsia="Times New Roman" w:hAnsi="Times New Roman" w:cs="Times New Roman" w:hint="default"/>
          <w:kern w:val="0"/>
          <w:sz w:val="24"/>
          <w:szCs w:val="24"/>
        </w:rPr>
        <w:t>   </w:t>
      </w:r>
      <w:r>
        <w:rPr>
          <w:rFonts w:ascii="Times New Roman" w:hAnsi="Times New Roman" w:cs="Times New Roman" w:hint="default"/>
          <w:sz w:val="24"/>
          <w:szCs w:val="24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rFonts w:ascii="Times New Roman" w:hAnsi="Times New Roman" w:cs="Times New Roman" w:hint="default"/>
          <w:sz w:val="24"/>
          <w:szCs w:val="24"/>
        </w:rPr>
      </w:pPr>
      <w:r>
        <w:rPr>
          <w:rFonts w:ascii="Times New Roman" w:hAnsi="Times New Roman" w:cs="Times New Roman" w:hint="default"/>
          <w:sz w:val="24"/>
          <w:szCs w:val="24"/>
        </w:rPr>
        <w:t>A．大城市中心</w:t>
      </w:r>
      <w:r>
        <w:rPr>
          <w:rFonts w:ascii="Times New Roman" w:hAnsi="Times New Roman" w:cs="Times New Roman" w:hint="eastAsia"/>
          <w:sz w:val="24"/>
          <w:szCs w:val="24"/>
          <w:lang w:val="en-US" w:eastAsia="zh-CN"/>
        </w:rPr>
        <w:t xml:space="preserve">    </w:t>
      </w:r>
      <w:r>
        <w:rPr>
          <w:rFonts w:ascii="Times New Roman" w:hAnsi="Times New Roman" w:cs="Times New Roman" w:hint="default"/>
          <w:sz w:val="24"/>
          <w:szCs w:val="24"/>
        </w:rPr>
        <w:tab/>
      </w:r>
      <w:r>
        <w:rPr>
          <w:rFonts w:cs="Times New Roman" w:hint="eastAsia"/>
          <w:sz w:val="24"/>
          <w:szCs w:val="24"/>
          <w:lang w:val="en-US" w:eastAsia="zh-CN"/>
        </w:rPr>
        <w:t xml:space="preserve">         </w:t>
      </w:r>
      <w:r>
        <w:rPr>
          <w:rFonts w:ascii="Times New Roman" w:hAnsi="Times New Roman" w:cs="Times New Roman" w:hint="default"/>
          <w:sz w:val="24"/>
          <w:szCs w:val="24"/>
        </w:rPr>
        <w:t>B．大城市边缘</w:t>
      </w:r>
      <w:r>
        <w:rPr>
          <w:rFonts w:ascii="Times New Roman" w:hAnsi="Times New Roman" w:cs="Times New Roman" w:hint="default"/>
          <w:sz w:val="24"/>
          <w:szCs w:val="24"/>
        </w:rPr>
        <w:tab/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rFonts w:ascii="Times New Roman" w:hAnsi="Times New Roman" w:cs="Times New Roman" w:hint="default"/>
          <w:sz w:val="24"/>
          <w:szCs w:val="24"/>
        </w:rPr>
      </w:pPr>
      <w:r>
        <w:rPr>
          <w:rFonts w:ascii="Times New Roman" w:hAnsi="Times New Roman" w:cs="Times New Roman" w:hint="default"/>
          <w:sz w:val="24"/>
          <w:szCs w:val="24"/>
        </w:rPr>
        <w:t>C．小城镇郊区</w:t>
      </w:r>
      <w:r>
        <w:rPr>
          <w:rFonts w:cs="Times New Roman" w:hint="eastAsia"/>
          <w:sz w:val="24"/>
          <w:szCs w:val="24"/>
          <w:lang w:val="en-US" w:eastAsia="zh-CN"/>
        </w:rPr>
        <w:t xml:space="preserve">                           </w:t>
      </w:r>
      <w:r>
        <w:rPr>
          <w:rFonts w:ascii="Times New Roman" w:hAnsi="Times New Roman" w:cs="Times New Roman" w:hint="default"/>
          <w:sz w:val="24"/>
          <w:szCs w:val="24"/>
        </w:rPr>
        <w:t>D．乡镇旁农村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楷体" w:eastAsia="楷体" w:hAnsi="楷体" w:cs="楷体" w:hint="eastAsia"/>
          <w:color w:val="000000"/>
          <w:sz w:val="24"/>
          <w:szCs w:val="24"/>
        </w:rPr>
        <w:t>一个地区的风受局地风（即小尺度区域内的大气运动，如热力环流形成的山谷风）与背景风（即大尺度范围的大气运动，如三圈环流、季风等）的共同影响。延庆盆地地处北京西北郊区，北部背依海坨山，南部与北京城区之间有军都山相隔，空气质量优，是首都的“后花园”。延庆盆地山谷风现象明显，尤其是3</w:t>
      </w:r>
      <w:r>
        <w:rPr>
          <w:rFonts w:ascii="楷体" w:eastAsia="楷体" w:hAnsi="楷体" w:cs="楷体" w:hint="eastAsia"/>
          <w:color w:val="000000"/>
          <w:sz w:val="24"/>
          <w:szCs w:val="24"/>
          <w:lang w:val="en-US" w:eastAsia="zh-CN"/>
        </w:rPr>
        <w:t>-</w:t>
      </w:r>
      <w:r>
        <w:rPr>
          <w:rFonts w:ascii="楷体" w:eastAsia="楷体" w:hAnsi="楷体" w:cs="楷体" w:hint="eastAsia"/>
          <w:color w:val="000000"/>
          <w:sz w:val="24"/>
          <w:szCs w:val="24"/>
        </w:rPr>
        <w:t>5月山谷风日数最多。山谷风是导致延庆盆地空气污染的重要因素。图</w:t>
      </w:r>
      <w:r>
        <w:rPr>
          <w:rFonts w:ascii="楷体" w:eastAsia="楷体" w:hAnsi="楷体" w:cs="楷体" w:hint="eastAsia"/>
          <w:color w:val="000000"/>
          <w:sz w:val="24"/>
          <w:szCs w:val="24"/>
          <w:lang w:val="en-US" w:eastAsia="zh-CN"/>
        </w:rPr>
        <w:t>2</w:t>
      </w:r>
      <w:r>
        <w:rPr>
          <w:rFonts w:ascii="楷体" w:eastAsia="楷体" w:hAnsi="楷体" w:cs="楷体" w:hint="eastAsia"/>
          <w:color w:val="000000"/>
          <w:sz w:val="24"/>
          <w:szCs w:val="24"/>
        </w:rPr>
        <w:t>示意延庆盆地的地形。完成下面小题。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47625</wp:posOffset>
                </wp:positionV>
                <wp:extent cx="3830955" cy="1883410"/>
                <wp:effectExtent l="0" t="0" r="17145" b="254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30955" cy="1883410"/>
                          <a:chOff x="12862" y="6938"/>
                          <a:chExt cx="6033" cy="2966"/>
                        </a:xfrm>
                      </wpg:grpSpPr>
                      <wps:wsp xmlns:wps="http://schemas.microsoft.com/office/word/2010/wordprocessingShape">
                        <wps:cNvPr id="6" name="文本框 6"/>
                        <wps:cNvSpPr txBox="1"/>
                        <wps:spPr>
                          <a:xfrm>
                            <a:off x="18133" y="8209"/>
                            <a:ext cx="763" cy="4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宋体" w:hint="default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0007" name="图片 10000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862" y="6938"/>
                            <a:ext cx="5190" cy="2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301.65pt;height:148.3pt;margin-top:3.75pt;margin-left:83.75pt;mso-height-relative:page;mso-width-relative:page;position:absolute;z-index:251662336" coordorigin="12862,6938" coordsize="6033,2966">
                <o:lock v:ext="edit" aspectratio="f"/>
                <v:shape id="_x0000_s1026" o:spid="_x0000_s1030" type="#_x0000_t202" style="width:763;height:463;left:18133;position:absolute;top:8209" coordsize="21600,21600" filled="t" fillcolor="white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eastAsia="宋体" w:hint="default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31" type="#_x0000_t75" alt="学科网(www.zxxk.com)--教育资源门户，提供试卷、教案、课件、论文、素材以及各类教学资源下载，还有大量而丰富的教学相关资讯！" style="width:5190;height:2967;left:12862;position:absolute;top:6938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cs="宋体" w:hint="eastAsia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cs="宋体" w:hint="eastAsia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cs="宋体" w:hint="eastAsia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cs="宋体" w:hint="eastAsia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cs="宋体" w:hint="eastAsia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cs="宋体" w:hint="eastAsia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cs="宋体" w:hint="eastAsia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cs="宋体" w:hint="eastAsia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cs="宋体" w:hint="eastAsia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>8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. 延庆盆地山谷风现象较为明显的原因是（   ）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A. 地处华北平原，受季风的影响大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B. 盆地内的水库，增大了山谷与山坡的温差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C. 周边多山地，易形成狭管效应</w:t>
      </w:r>
      <w:r>
        <w:rPr>
          <w:rFonts w:ascii="宋体" w:eastAsia="宋体" w:hAnsi="宋体" w:cs="宋体" w:hint="eastAsia"/>
          <w:color w:val="000000"/>
          <w:sz w:val="24"/>
          <w:szCs w:val="24"/>
          <w:lang w:val="en-US" w:eastAsia="zh-CN"/>
        </w:rPr>
        <w:t xml:space="preserve">     </w:t>
      </w: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D. 地形较为封闭，热量不易散发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>9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. 一日内山谷风显著加重延庆盆地山前地段空气污染的时段是（   ）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A. 4:00</w:t>
      </w:r>
      <w:r>
        <w:rPr>
          <w:rFonts w:ascii="宋体" w:eastAsia="宋体" w:hAnsi="宋体" w:cs="宋体" w:hint="eastAsia"/>
          <w:color w:val="000000"/>
          <w:sz w:val="24"/>
          <w:szCs w:val="24"/>
          <w:lang w:val="en-US" w:eastAsia="zh-CN"/>
        </w:rPr>
        <w:t>-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6:00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ab/>
      </w:r>
      <w:r>
        <w:rPr>
          <w:rFonts w:ascii="宋体" w:eastAsia="宋体" w:hAnsi="宋体" w:cs="宋体" w:hint="eastAsia"/>
          <w:color w:val="000000"/>
          <w:sz w:val="24"/>
          <w:szCs w:val="24"/>
          <w:lang w:val="en-US" w:eastAsia="zh-CN"/>
        </w:rPr>
        <w:t xml:space="preserve">                </w:t>
      </w: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B. 9:00</w:t>
      </w:r>
      <w:r>
        <w:rPr>
          <w:rFonts w:ascii="宋体" w:eastAsia="宋体" w:hAnsi="宋体" w:cs="宋体" w:hint="eastAsia"/>
          <w:color w:val="000000"/>
          <w:sz w:val="24"/>
          <w:szCs w:val="24"/>
          <w:lang w:val="en-US" w:eastAsia="zh-CN"/>
        </w:rPr>
        <w:t>-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11:00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C. 14:00</w:t>
      </w:r>
      <w:r>
        <w:rPr>
          <w:rFonts w:ascii="宋体" w:eastAsia="宋体" w:hAnsi="宋体" w:cs="宋体" w:hint="eastAsia"/>
          <w:color w:val="000000"/>
          <w:sz w:val="24"/>
          <w:szCs w:val="24"/>
          <w:lang w:val="en-US" w:eastAsia="zh-CN"/>
        </w:rPr>
        <w:t>-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16:00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ab/>
      </w:r>
      <w:r>
        <w:rPr>
          <w:rFonts w:ascii="宋体" w:eastAsia="宋体" w:hAnsi="宋体" w:cs="宋体" w:hint="eastAsia"/>
          <w:color w:val="000000"/>
          <w:sz w:val="24"/>
          <w:szCs w:val="24"/>
          <w:lang w:val="en-US" w:eastAsia="zh-CN"/>
        </w:rPr>
        <w:t xml:space="preserve">                </w:t>
      </w: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 xml:space="preserve">  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D. 19:00</w:t>
      </w:r>
      <w:r>
        <w:rPr>
          <w:rFonts w:ascii="宋体" w:eastAsia="宋体" w:hAnsi="宋体" w:cs="宋体" w:hint="eastAsia"/>
          <w:color w:val="000000"/>
          <w:sz w:val="24"/>
          <w:szCs w:val="24"/>
          <w:lang w:val="en-US" w:eastAsia="zh-CN"/>
        </w:rPr>
        <w:t>-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21:00</w:t>
      </w:r>
    </w:p>
    <w:p>
      <w:pPr>
        <w:shd w:val="clear" w:color="auto" w:fill="auto"/>
        <w:spacing w:line="240" w:lineRule="auto"/>
        <w:ind w:firstLine="420"/>
        <w:jc w:val="left"/>
        <w:textAlignment w:val="center"/>
        <w:rPr>
          <w:sz w:val="24"/>
          <w:szCs w:val="24"/>
        </w:rPr>
      </w:pPr>
      <w:r>
        <w:rPr>
          <w:rFonts w:ascii="楷体" w:eastAsia="楷体" w:hAnsi="楷体" w:cs="楷体"/>
          <w:sz w:val="24"/>
          <w:szCs w:val="24"/>
        </w:rPr>
        <w:t>高黎贡山位于我国西南山区，呈南北走向，垂直带谱明显，生物多样性丰富。图</w:t>
      </w:r>
      <w:r>
        <w:rPr>
          <w:rFonts w:ascii="楷体" w:eastAsia="楷体" w:hAnsi="楷体" w:cs="楷体" w:hint="eastAsia"/>
          <w:sz w:val="24"/>
          <w:szCs w:val="24"/>
          <w:lang w:val="en-US" w:eastAsia="zh-CN"/>
        </w:rPr>
        <w:t>3</w:t>
      </w:r>
      <w:r>
        <w:rPr>
          <w:rFonts w:ascii="楷体" w:eastAsia="楷体" w:hAnsi="楷体" w:cs="楷体"/>
          <w:sz w:val="24"/>
          <w:szCs w:val="24"/>
        </w:rPr>
        <w:t>是该山南段东、西坡观察样地总物种丰富度沿海拔梯度的分布格局示意图。据此回答下面小题。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1252220</wp:posOffset>
                </wp:positionV>
                <wp:extent cx="451485" cy="273050"/>
                <wp:effectExtent l="0" t="0" r="5715" b="1270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907915" y="2260600"/>
                          <a:ext cx="45148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="宋体"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35.55pt;height:21.5pt;margin-top:98.6pt;margin-left:315.55pt;mso-height-relative:page;mso-width-relative:page;position:absolute;z-index:251664384" coordsize="21600,21600" filled="t" fillcolor="white" stroked="f" strokeweight="0.5pt">
                <o:lock v:ext="edit" aspectratio="f"/>
                <v:textbox>
                  <w:txbxContent>
                    <w:p>
                      <w:pPr>
                        <w:rPr>
                          <w:rFonts w:eastAsia="宋体"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图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1"/>
        </w:num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41275</wp:posOffset>
                </wp:positionV>
                <wp:extent cx="2488565" cy="2360295"/>
                <wp:effectExtent l="0" t="0" r="6985" b="190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88565" cy="2360295"/>
                          <a:chOff x="4003" y="17345"/>
                          <a:chExt cx="4409" cy="4359"/>
                        </a:xfrm>
                      </wpg:grpSpPr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87" y="17345"/>
                            <a:ext cx="4125" cy="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0" name="文本框 10"/>
                        <wps:cNvSpPr txBox="1"/>
                        <wps:spPr>
                          <a:xfrm>
                            <a:off x="4003" y="21153"/>
                            <a:ext cx="940" cy="5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宋体" w:hint="default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195.95pt;height:185.85pt;margin-top:3.25pt;margin-left:239.45pt;mso-height-relative:page;mso-width-relative:page;position:absolute;z-index:251666432" coordorigin="4003,17345" coordsize="4409,4359">
                <o:lock v:ext="edit" aspectratio="f"/>
                <v:shape id="图片 1" o:spid="_x0000_s1034" type="#_x0000_t75" style="width:4125;height:3825;left:4287;position:absolute;top:17345" coordsize="21600,21600" o:preferrelative="t" filled="f" stroked="f">
                  <v:imagedata r:id="rId9" o:title=""/>
                  <o:lock v:ext="edit" aspectratio="t"/>
                </v:shape>
                <v:shape id="_x0000_s1026" o:spid="_x0000_s1035" type="#_x0000_t202" style="width:940;height:551;left:4003;position:absolute;top:21153" coordsize="21600,21600" filled="t" fillcolor="white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eastAsia="宋体" w:hint="default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  <w:szCs w:val="24"/>
        </w:rPr>
        <w:t>该地东、西两坡物种丰富度垂直分布格局</w:t>
      </w:r>
    </w:p>
    <w:p>
      <w:pPr>
        <w:numPr>
          <w:ilvl w:val="0"/>
          <w:numId w:val="0"/>
        </w:num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均不同于一般单峰格局的主要原因是（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>
      <w:pPr>
        <w:shd w:val="clear" w:color="auto" w:fill="auto"/>
        <w:tabs>
          <w:tab w:val="left" w:pos="4156"/>
        </w:tabs>
        <w:spacing w:line="240" w:lineRule="auto"/>
        <w:ind w:firstLine="240" w:firstLineChars="1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A．样地海拔较高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B．样地地势平坦</w:t>
      </w:r>
    </w:p>
    <w:p>
      <w:pPr>
        <w:shd w:val="clear" w:color="auto" w:fill="auto"/>
        <w:tabs>
          <w:tab w:val="left" w:pos="4156"/>
        </w:tabs>
        <w:spacing w:line="240" w:lineRule="auto"/>
        <w:ind w:firstLine="240" w:firstLineChars="1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C．样地水热充足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D．样地土壤肥沃</w:t>
      </w: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11．造成总物种丰富度西坡总体高于</w:t>
      </w: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东坡的主导因素是（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>
      <w:pPr>
        <w:numPr>
          <w:ilvl w:val="0"/>
          <w:numId w:val="2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firstLine="240" w:firstLineChars="1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降水</w:t>
      </w:r>
      <w:r>
        <w:rPr>
          <w:sz w:val="24"/>
          <w:szCs w:val="24"/>
        </w:rPr>
        <w:tab/>
      </w:r>
      <w:r>
        <w:rPr>
          <w:sz w:val="24"/>
          <w:szCs w:val="24"/>
        </w:rPr>
        <w:t>B．地势</w:t>
      </w:r>
      <w:r>
        <w:rPr>
          <w:sz w:val="24"/>
          <w:szCs w:val="24"/>
        </w:rPr>
        <w:tab/>
      </w:r>
    </w:p>
    <w:p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firstLine="240" w:firstLineChars="1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C．光照</w:t>
      </w:r>
      <w:r>
        <w:rPr>
          <w:sz w:val="24"/>
          <w:szCs w:val="24"/>
        </w:rPr>
        <w:tab/>
      </w:r>
      <w:r>
        <w:rPr>
          <w:sz w:val="24"/>
          <w:szCs w:val="24"/>
        </w:rPr>
        <w:t>D．土壤</w:t>
      </w: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12．东、西坡总物种丰富度沿海拔梯度的</w:t>
      </w: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分布格局存在显著差异的主要原因是（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>
      <w:pPr>
        <w:numPr>
          <w:ilvl w:val="0"/>
          <w:numId w:val="3"/>
        </w:numPr>
        <w:shd w:val="clear" w:color="auto" w:fill="auto"/>
        <w:tabs>
          <w:tab w:val="left" w:pos="4156"/>
        </w:tabs>
        <w:spacing w:line="240" w:lineRule="auto"/>
        <w:ind w:firstLine="240" w:firstLineChars="100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t>西坡水热条件更优越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   </w:t>
      </w:r>
    </w:p>
    <w:p>
      <w:pPr>
        <w:numPr>
          <w:ilvl w:val="0"/>
          <w:numId w:val="0"/>
        </w:numPr>
        <w:shd w:val="clear" w:color="auto" w:fill="auto"/>
        <w:tabs>
          <w:tab w:val="left" w:pos="4156"/>
        </w:tabs>
        <w:spacing w:line="240" w:lineRule="auto"/>
        <w:ind w:firstLine="240" w:firstLineChars="1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B．东坡人类活动更频繁</w:t>
      </w:r>
    </w:p>
    <w:p>
      <w:pPr>
        <w:shd w:val="clear" w:color="auto" w:fill="auto"/>
        <w:tabs>
          <w:tab w:val="left" w:pos="4156"/>
        </w:tabs>
        <w:spacing w:line="240" w:lineRule="auto"/>
        <w:ind w:firstLine="240" w:firstLineChars="100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t>C．东坡自然灾害更频繁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   </w:t>
      </w:r>
    </w:p>
    <w:p>
      <w:pPr>
        <w:shd w:val="clear" w:color="auto" w:fill="auto"/>
        <w:tabs>
          <w:tab w:val="left" w:pos="4156"/>
        </w:tabs>
        <w:spacing w:line="240" w:lineRule="auto"/>
        <w:ind w:firstLine="240" w:firstLineChars="1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D．西坡地形坡度更陡峭</w:t>
      </w:r>
    </w:p>
    <w:p>
      <w:pPr>
        <w:shd w:val="clear" w:color="auto" w:fill="auto"/>
        <w:spacing w:line="240" w:lineRule="auto"/>
        <w:ind w:firstLine="420"/>
        <w:jc w:val="left"/>
        <w:textAlignment w:val="center"/>
        <w:rPr>
          <w:sz w:val="24"/>
          <w:szCs w:val="24"/>
        </w:rPr>
      </w:pPr>
      <w:r>
        <w:rPr>
          <w:rFonts w:ascii="楷体" w:eastAsia="楷体" w:hAnsi="楷体" w:cs="楷体"/>
          <w:sz w:val="24"/>
          <w:szCs w:val="24"/>
        </w:rPr>
        <w:t>冰川前进时会导致行进路径上的树木受伤甚至死亡，退缩后在其遗留的堆积体上，树木会重新生长。科研人员在某地由南向北倾斜的冰川末端槽谷中，沿某一剖面依次调查各垄状堆积体上的树木分布特征，调查中未发现受伤和死亡树木。图</w:t>
      </w:r>
      <w:r>
        <w:rPr>
          <w:rFonts w:ascii="楷体" w:eastAsia="楷体" w:hAnsi="楷体" w:cs="楷体" w:hint="eastAsia"/>
          <w:sz w:val="24"/>
          <w:szCs w:val="24"/>
          <w:lang w:val="en-US" w:eastAsia="zh-CN"/>
        </w:rPr>
        <w:t>4</w:t>
      </w:r>
      <w:r>
        <w:rPr>
          <w:rFonts w:ascii="楷体" w:eastAsia="楷体" w:hAnsi="楷体" w:cs="楷体"/>
          <w:sz w:val="24"/>
          <w:szCs w:val="24"/>
        </w:rPr>
        <w:t>为该剖面上各采样点最老云杉、杨树的树龄分布图。据此完成下面小题。</w:t>
      </w:r>
    </w:p>
    <w:p>
      <w:pPr>
        <w:shd w:val="clear" w:color="auto" w:fill="auto"/>
        <w:spacing w:line="240" w:lineRule="auto"/>
        <w:jc w:val="center"/>
        <w:textAlignment w:val="center"/>
        <w:rPr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93345</wp:posOffset>
                </wp:positionV>
                <wp:extent cx="4749165" cy="1187450"/>
                <wp:effectExtent l="0" t="0" r="13335" b="1270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49165" cy="1187450"/>
                          <a:chOff x="3305" y="22657"/>
                          <a:chExt cx="7479" cy="1870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@@@b2ee12f8385e47d2b5247c605b086ff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05" y="22657"/>
                            <a:ext cx="6969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4" name="文本框 14"/>
                        <wps:cNvSpPr txBox="1"/>
                        <wps:spPr>
                          <a:xfrm>
                            <a:off x="10074" y="23077"/>
                            <a:ext cx="711" cy="4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宋体" w:hint="default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373.95pt;height:93.5pt;margin-top:7.35pt;margin-left:38.75pt;mso-height-relative:page;mso-width-relative:page;position:absolute;z-index:251668480" coordorigin="3305,22657" coordsize="7479,1870">
                <o:lock v:ext="edit" aspectratio="f"/>
                <v:shape id="_x0000_s1026" o:spid="_x0000_s1037" type="#_x0000_t75" alt="@@@b2ee12f8385e47d2b5247c605b086ff5" style="width:6969;height:1870;left:3305;position:absolute;top:22657" coordsize="21600,21600" o:preferrelative="t" filled="f" stroked="f">
                  <v:imagedata r:id="rId10" o:title=""/>
                  <o:lock v:ext="edit" aspectratio="t"/>
                </v:shape>
                <v:shape id="_x0000_s1026" o:spid="_x0000_s1038" type="#_x0000_t202" style="width:711;height:430;left:10074;position:absolute;top:23077" coordsize="21600,21600" filled="t" fillcolor="white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eastAsia="宋体" w:hint="default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．同一堆积体上，杨树与云杉年龄存在差异，说明杨树（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4"/>
          <w:szCs w:val="24"/>
        </w:rPr>
        <w:t>）</w:t>
      </w:r>
    </w:p>
    <w:p>
      <w:pPr>
        <w:shd w:val="clear" w:color="auto" w:fill="auto"/>
        <w:tabs>
          <w:tab w:val="left" w:pos="4156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A．生长早、更耐贫瘠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sz w:val="24"/>
          <w:szCs w:val="24"/>
        </w:rPr>
        <w:t>B．生长早、更耐严寒</w:t>
      </w:r>
    </w:p>
    <w:p>
      <w:pPr>
        <w:shd w:val="clear" w:color="auto" w:fill="auto"/>
        <w:tabs>
          <w:tab w:val="left" w:pos="4156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C．生长晚、更耐干旱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sz w:val="24"/>
          <w:szCs w:val="24"/>
        </w:rPr>
        <w:t>D．生长晚、更耐渍水</w:t>
      </w: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sz w:val="24"/>
          <w:szCs w:val="24"/>
        </w:rPr>
        <w:t>．推测采样剖面在冰川槽谷中所处的位置和方向分别是（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4"/>
          <w:szCs w:val="24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A．谷底，南北向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sz w:val="24"/>
          <w:szCs w:val="24"/>
        </w:rPr>
        <w:t>B．谷底，东西向</w:t>
      </w:r>
      <w:r>
        <w:rPr>
          <w:sz w:val="24"/>
          <w:szCs w:val="24"/>
        </w:rPr>
        <w:tab/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C．谷坡，南北向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sz w:val="24"/>
          <w:szCs w:val="24"/>
        </w:rPr>
        <w:t>D．谷坡，东西向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楷体" w:eastAsia="楷体" w:hAnsi="楷体" w:cs="楷体" w:hint="eastAsia"/>
          <w:color w:val="000000"/>
          <w:sz w:val="24"/>
          <w:szCs w:val="24"/>
        </w:rPr>
        <w:t>新疆维吾尔自治区喀什市（40°N，75°E）某中学的地理兴趣小组在2月某日连续两个课间测量了学校南墙上的一壁灯（包括支架）影子长度与高度变化。图</w:t>
      </w:r>
      <w:r>
        <w:rPr>
          <w:rFonts w:ascii="楷体" w:eastAsia="楷体" w:hAnsi="楷体" w:cs="楷体" w:hint="eastAsia"/>
          <w:color w:val="000000"/>
          <w:sz w:val="24"/>
          <w:szCs w:val="24"/>
          <w:lang w:val="en-US" w:eastAsia="zh-CN"/>
        </w:rPr>
        <w:t>5</w:t>
      </w:r>
      <w:r>
        <w:rPr>
          <w:rFonts w:ascii="楷体" w:eastAsia="楷体" w:hAnsi="楷体" w:cs="楷体" w:hint="eastAsia"/>
          <w:color w:val="000000"/>
          <w:sz w:val="24"/>
          <w:szCs w:val="24"/>
        </w:rPr>
        <w:t>示意该地理兴趣小组第一次测量时灯影照片。完成下面小题。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>15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. 图示灯影照片拍摄的北京时间可能是（   ）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A. 8:00</w:t>
      </w: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B. 12:00</w:t>
      </w: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C. 15:00</w:t>
      </w: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D. 18:00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cs="宋体" w:hint="eastAsia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2954020</wp:posOffset>
                </wp:positionH>
                <wp:positionV relativeFrom="paragraph">
                  <wp:posOffset>10160</wp:posOffset>
                </wp:positionV>
                <wp:extent cx="2540635" cy="1802130"/>
                <wp:effectExtent l="0" t="0" r="12065" b="762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40635" cy="1802130"/>
                          <a:chOff x="14705" y="16984"/>
                          <a:chExt cx="4001" cy="2838"/>
                        </a:xfrm>
                      </wpg:grpSpPr>
                      <wps:wsp xmlns:wps="http://schemas.microsoft.com/office/word/2010/wordprocessingShape">
                        <wps:cNvPr id="11" name="文本框 11"/>
                        <wps:cNvSpPr txBox="1"/>
                        <wps:spPr>
                          <a:xfrm>
                            <a:off x="17995" y="18523"/>
                            <a:ext cx="711" cy="4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宋体" w:hint="default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0003" name="图片 10000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705" y="16984"/>
                            <a:ext cx="3234" cy="2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200.05pt;height:141.9pt;margin-top:0.8pt;margin-left:232.6pt;mso-height-relative:page;mso-width-relative:page;position:absolute;z-index:251670528" coordorigin="14705,16984" coordsize="4001,2838">
                <o:lock v:ext="edit" aspectratio="f"/>
                <v:shape id="_x0000_s1026" o:spid="_x0000_s1040" type="#_x0000_t202" style="width:711;height:430;left:17995;position:absolute;top:18523" coordsize="21600,21600" filled="t" fillcolor="white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eastAsia="宋体" w:hint="default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5</w:t>
                        </w:r>
                      </w:p>
                    </w:txbxContent>
                  </v:textbox>
                </v:shape>
                <v:shape id="_x0000_s1026" o:spid="_x0000_s1041" type="#_x0000_t75" alt="学科网(www.zxxk.com)--教育资源门户，提供试卷、教案、课件、论文、素材以及各类教学资源下载，还有大量而丰富的教学相关资讯！" style="width:3234;height:2838;left:14705;position:absolute;top:16984" coordsize="21600,21600" o:preferrelative="t" filled="f" stroked="f"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sz w:val="24"/>
          <w:lang w:val="en-US" w:eastAsia="zh-CN"/>
        </w:rPr>
        <w:t>16.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此日该地理兴趣小组在两次测量期间，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图示壁灯（包括支架）影子（   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长度增长，高度降低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B. 长度增长，高度升高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C. 长度缩短，高度降低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D. 长度缩短，高度升高</w:t>
      </w:r>
    </w:p>
    <w:p>
      <w:pPr>
        <w:spacing w:line="276" w:lineRule="auto"/>
        <w:rPr>
          <w:rFonts w:ascii="宋体" w:hAnsi="宋体" w:hint="eastAsia"/>
          <w:b/>
          <w:sz w:val="24"/>
          <w:szCs w:val="24"/>
        </w:rPr>
      </w:pPr>
    </w:p>
    <w:p>
      <w:pPr>
        <w:spacing w:line="276" w:lineRule="auto"/>
        <w:rPr>
          <w:rFonts w:ascii="宋体" w:hAnsi="宋体" w:hint="eastAsia"/>
          <w:b/>
          <w:sz w:val="24"/>
          <w:szCs w:val="24"/>
        </w:rPr>
      </w:pPr>
    </w:p>
    <w:p>
      <w:pPr>
        <w:spacing w:line="276" w:lineRule="auto"/>
        <w:rPr>
          <w:rFonts w:asciiTheme="minorEastAsia" w:hAnsiTheme="minorEastAsia" w:cstheme="minorEastAsia"/>
          <w:kern w:val="0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二、综合题（本大题共3小题，共52分）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default"/>
          <w:color w:val="000000"/>
          <w:sz w:val="24"/>
          <w:szCs w:val="24"/>
          <w:lang w:val="en-US" w:eastAsia="zh-CN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17. 阅读图文材料.完成下列要求。</w:t>
      </w: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>(10分)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楷体" w:eastAsia="楷体" w:hAnsi="楷体" w:cs="楷体" w:hint="eastAsia"/>
          <w:color w:val="000000"/>
          <w:sz w:val="24"/>
          <w:szCs w:val="24"/>
        </w:rPr>
        <w:t>广东省有广府、潮汕和客家三大汉民系的聚居区，它们是各自独立稳定的地理和文化区域。三大汉民系聚落景观差异鲜明。</w:t>
      </w:r>
      <w:r>
        <w:rPr>
          <w:rFonts w:ascii="楷体" w:eastAsia="楷体" w:hAnsi="楷体" w:cs="楷体" w:hint="eastAsia"/>
          <w:color w:val="000000"/>
          <w:sz w:val="24"/>
          <w:szCs w:val="24"/>
          <w:lang w:eastAsia="zh-CN"/>
        </w:rPr>
        <w:t>图</w:t>
      </w:r>
      <w:r>
        <w:rPr>
          <w:rFonts w:ascii="楷体" w:eastAsia="楷体" w:hAnsi="楷体" w:cs="楷体" w:hint="eastAsia"/>
          <w:color w:val="000000"/>
          <w:sz w:val="24"/>
          <w:szCs w:val="24"/>
          <w:lang w:val="en-US" w:eastAsia="zh-CN"/>
        </w:rPr>
        <w:t>6中的</w:t>
      </w:r>
      <w:r>
        <w:rPr>
          <w:rFonts w:ascii="楷体" w:eastAsia="楷体" w:hAnsi="楷体" w:cs="楷体" w:hint="eastAsia"/>
          <w:color w:val="000000"/>
          <w:sz w:val="24"/>
          <w:szCs w:val="24"/>
        </w:rPr>
        <w:t>图Ⅰ、图Ⅱ、图Ⅲ分别为广府、潮汕和客家三大汉民系聚落土地利用格局示意图。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44450</wp:posOffset>
                </wp:positionV>
                <wp:extent cx="3858895" cy="2136140"/>
                <wp:effectExtent l="0" t="0" r="8255" b="1651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58895" cy="2136140"/>
                          <a:chOff x="13196" y="22589"/>
                          <a:chExt cx="6889" cy="3974"/>
                        </a:xfrm>
                      </wpg:grpSpPr>
                      <wps:wsp xmlns:wps="http://schemas.microsoft.com/office/word/2010/wordprocessingShape">
                        <wps:cNvPr id="21" name="文本框 21"/>
                        <wps:cNvSpPr txBox="1"/>
                        <wps:spPr>
                          <a:xfrm>
                            <a:off x="19261" y="24515"/>
                            <a:ext cx="825" cy="5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宋体" w:hint="default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图6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0011" name="图片 10001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196" y="22589"/>
                            <a:ext cx="6180" cy="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303.85pt;height:168.2pt;margin-top:3.5pt;margin-left:85.25pt;mso-height-relative:page;mso-width-relative:page;position:absolute;z-index:251672576" coordorigin="13196,22589" coordsize="6889,3974">
                <o:lock v:ext="edit" aspectratio="f"/>
                <v:shape id="_x0000_s1026" o:spid="_x0000_s1043" type="#_x0000_t202" style="width:825;height:541;left:19261;position:absolute;top:24515" coordsize="21600,21600" filled="t" fillcolor="white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eastAsia="宋体" w:hint="default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图6</w:t>
                        </w:r>
                      </w:p>
                    </w:txbxContent>
                  </v:textbox>
                </v:shape>
                <v:shape id="_x0000_s1026" o:spid="_x0000_s1044" type="#_x0000_t75" alt="学科网(www.zxxk.com)--教育资源门户，提供试卷、教案、课件、论文、素材以及各类教学资源下载，还有大量而丰富的教学相关资讯！" style="width:6180;height:3975;left:13196;position:absolute;top:22589" coordsize="21600,21600" o:preferrelative="t" filled="f" stroked="f">
                  <v:imagedata r:id="rId12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default"/>
          <w:color w:val="000000"/>
          <w:sz w:val="24"/>
          <w:szCs w:val="24"/>
          <w:lang w:val="en-US" w:eastAsia="zh-CN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（1）比较广东省广府、潮汕和客家三大汉民系农业生产结构的相似与不同。</w:t>
      </w: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>(6分)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default"/>
          <w:color w:val="000000"/>
          <w:sz w:val="24"/>
          <w:szCs w:val="24"/>
          <w:lang w:val="en-US" w:eastAsia="zh-CN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（2）潮汕传统聚落具有近海而不临海的布局特点，说明该聚落布局的优点。</w:t>
      </w: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>(4分)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sz w:val="24"/>
          <w:szCs w:val="24"/>
        </w:rPr>
        <w:t>．阅读图文材料，完成下列要求。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22分）</w:t>
      </w:r>
    </w:p>
    <w:p>
      <w:pPr>
        <w:shd w:val="clear" w:color="auto" w:fill="auto"/>
        <w:spacing w:line="240" w:lineRule="auto"/>
        <w:ind w:firstLine="420"/>
        <w:jc w:val="left"/>
        <w:textAlignment w:val="center"/>
        <w:rPr>
          <w:sz w:val="24"/>
          <w:szCs w:val="24"/>
        </w:rPr>
      </w:pPr>
      <w:r>
        <w:rPr>
          <w:rFonts w:ascii="楷体" w:eastAsia="楷体" w:hAnsi="楷体" w:cs="楷体"/>
          <w:sz w:val="24"/>
          <w:szCs w:val="24"/>
        </w:rPr>
        <w:t>目前我国果蔬和薯类从田间到餐桌的损耗率高达</w:t>
      </w:r>
      <w:r>
        <w:rPr>
          <w:sz w:val="24"/>
          <w:szCs w:val="24"/>
        </w:rPr>
        <w:t>15%</w:t>
      </w:r>
      <w:r>
        <w:rPr>
          <w:rFonts w:ascii="楷体" w:eastAsia="楷体" w:hAnsi="楷体" w:cs="楷体"/>
          <w:sz w:val="24"/>
          <w:szCs w:val="24"/>
        </w:rPr>
        <w:t>～</w:t>
      </w:r>
      <w:r>
        <w:rPr>
          <w:sz w:val="24"/>
          <w:szCs w:val="24"/>
        </w:rPr>
        <w:t>25%</w:t>
      </w:r>
      <w:r>
        <w:rPr>
          <w:rFonts w:ascii="楷体" w:eastAsia="楷体" w:hAnsi="楷体" w:cs="楷体"/>
          <w:sz w:val="24"/>
          <w:szCs w:val="24"/>
        </w:rPr>
        <w:t>，每年损失近</w:t>
      </w:r>
      <w:r>
        <w:rPr>
          <w:sz w:val="24"/>
          <w:szCs w:val="24"/>
        </w:rPr>
        <w:t>2</w:t>
      </w:r>
      <w:r>
        <w:rPr>
          <w:rFonts w:ascii="楷体" w:eastAsia="楷体" w:hAnsi="楷体" w:cs="楷体"/>
          <w:sz w:val="24"/>
          <w:szCs w:val="24"/>
        </w:rPr>
        <w:t>亿吨，主要发生在农产品出村的</w:t>
      </w:r>
      <w:r>
        <w:rPr>
          <w:sz w:val="24"/>
          <w:szCs w:val="24"/>
        </w:rPr>
        <w:t>“</w:t>
      </w:r>
      <w:r>
        <w:rPr>
          <w:rFonts w:ascii="楷体" w:eastAsia="楷体" w:hAnsi="楷体" w:cs="楷体"/>
          <w:sz w:val="24"/>
          <w:szCs w:val="24"/>
        </w:rPr>
        <w:t>最先一公里</w:t>
      </w:r>
      <w:r>
        <w:rPr>
          <w:sz w:val="24"/>
          <w:szCs w:val="24"/>
        </w:rPr>
        <w:t>”</w:t>
      </w:r>
      <w:r>
        <w:rPr>
          <w:rFonts w:ascii="楷体" w:eastAsia="楷体" w:hAnsi="楷体" w:cs="楷体"/>
          <w:sz w:val="24"/>
          <w:szCs w:val="24"/>
        </w:rPr>
        <w:t>内。我国</w:t>
      </w:r>
      <w:r>
        <w:rPr>
          <w:sz w:val="24"/>
          <w:szCs w:val="24"/>
        </w:rPr>
        <w:t>A</w:t>
      </w:r>
      <w:r>
        <w:rPr>
          <w:rFonts w:ascii="楷体" w:eastAsia="楷体" w:hAnsi="楷体" w:cs="楷体"/>
          <w:sz w:val="24"/>
          <w:szCs w:val="24"/>
        </w:rPr>
        <w:t>电商企业近年来持续投入资金与技术，改善农村基础设施，打造农产品产地仓（在农产品产地就近建设的农产品集运加工中心）和冷链物流为一体的</w:t>
      </w:r>
      <w:r>
        <w:rPr>
          <w:sz w:val="24"/>
          <w:szCs w:val="24"/>
        </w:rPr>
        <w:t>“</w:t>
      </w:r>
      <w:r>
        <w:rPr>
          <w:rFonts w:ascii="楷体" w:eastAsia="楷体" w:hAnsi="楷体" w:cs="楷体"/>
          <w:sz w:val="24"/>
          <w:szCs w:val="24"/>
        </w:rPr>
        <w:t>最先一公里</w:t>
      </w:r>
      <w:r>
        <w:rPr>
          <w:sz w:val="24"/>
          <w:szCs w:val="24"/>
        </w:rPr>
        <w:t>”</w:t>
      </w:r>
      <w:r>
        <w:rPr>
          <w:rFonts w:ascii="楷体" w:eastAsia="楷体" w:hAnsi="楷体" w:cs="楷体"/>
          <w:sz w:val="24"/>
          <w:szCs w:val="24"/>
        </w:rPr>
        <w:t>数字化仓配体系，实现果品</w:t>
      </w:r>
      <w:r>
        <w:rPr>
          <w:sz w:val="24"/>
          <w:szCs w:val="24"/>
        </w:rPr>
        <w:t>90</w:t>
      </w:r>
      <w:r>
        <w:rPr>
          <w:rFonts w:ascii="楷体" w:eastAsia="楷体" w:hAnsi="楷体" w:cs="楷体"/>
          <w:sz w:val="24"/>
          <w:szCs w:val="24"/>
        </w:rPr>
        <w:t>秒钟变为商品，</w:t>
      </w:r>
      <w:r>
        <w:rPr>
          <w:sz w:val="24"/>
          <w:szCs w:val="24"/>
        </w:rPr>
        <w:t>48</w:t>
      </w:r>
      <w:r>
        <w:rPr>
          <w:rFonts w:ascii="楷体" w:eastAsia="楷体" w:hAnsi="楷体" w:cs="楷体"/>
          <w:sz w:val="24"/>
          <w:szCs w:val="24"/>
        </w:rPr>
        <w:t>小时内从田间直抵餐桌。图</w:t>
      </w:r>
      <w:r>
        <w:rPr>
          <w:rFonts w:ascii="楷体" w:eastAsia="楷体" w:hAnsi="楷体" w:cs="楷体" w:hint="eastAsia"/>
          <w:sz w:val="24"/>
          <w:szCs w:val="24"/>
          <w:lang w:val="en-US" w:eastAsia="zh-CN"/>
        </w:rPr>
        <w:t>7</w:t>
      </w:r>
      <w:r>
        <w:rPr>
          <w:rFonts w:ascii="楷体" w:eastAsia="楷体" w:hAnsi="楷体" w:cs="楷体"/>
          <w:sz w:val="24"/>
          <w:szCs w:val="24"/>
        </w:rPr>
        <w:t>示意</w:t>
      </w:r>
      <w:r>
        <w:rPr>
          <w:sz w:val="24"/>
          <w:szCs w:val="24"/>
        </w:rPr>
        <w:t>A</w:t>
      </w:r>
      <w:r>
        <w:rPr>
          <w:rFonts w:ascii="楷体" w:eastAsia="楷体" w:hAnsi="楷体" w:cs="楷体"/>
          <w:sz w:val="24"/>
          <w:szCs w:val="24"/>
        </w:rPr>
        <w:t>公司五大数字化产地仓及其辐射范围。其中西安的产地仓已成为西北五省区（陕、甘、青、宁、新）中农产品数字化集运枢纽。</w:t>
      </w:r>
    </w:p>
    <w:p>
      <w:pPr>
        <w:shd w:val="clear" w:color="auto" w:fill="auto"/>
        <w:spacing w:line="240" w:lineRule="auto"/>
        <w:jc w:val="center"/>
        <w:textAlignment w:val="center"/>
        <w:rPr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92075</wp:posOffset>
                </wp:positionV>
                <wp:extent cx="3446145" cy="2438400"/>
                <wp:effectExtent l="0" t="0" r="1905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46145" cy="2438400"/>
                          <a:chOff x="3948" y="32686"/>
                          <a:chExt cx="5427" cy="3840"/>
                        </a:xfrm>
                      </wpg:grpSpPr>
                      <pic:pic xmlns:pic="http://schemas.openxmlformats.org/drawingml/2006/picture">
                        <pic:nvPicPr>
                          <pic:cNvPr id="42" name="图片 24" descr="@@@76706a32-bf71-4bc5-90d2-c5166239055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48" y="32686"/>
                            <a:ext cx="4936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24" name="文本框 24"/>
                        <wps:cNvSpPr txBox="1"/>
                        <wps:spPr>
                          <a:xfrm>
                            <a:off x="8651" y="34486"/>
                            <a:ext cx="725" cy="5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宋体" w:hint="default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271.35pt;height:192pt;margin-top:7.25pt;margin-left:70.9pt;mso-height-relative:page;mso-width-relative:page;position:absolute;z-index:251674624" coordorigin="3948,32686" coordsize="5427,3840">
                <o:lock v:ext="edit" aspectratio="f"/>
                <v:shape id="图片 24" o:spid="_x0000_s1046" type="#_x0000_t75" alt="@@@76706a32-bf71-4bc5-90d2-c51662390551" style="width:4936;height:3840;left:3948;position:absolute;top:32686" coordsize="21600,21600" o:preferrelative="t" filled="f" stroked="f">
                  <v:imagedata r:id="rId13" o:title=""/>
                  <o:lock v:ext="edit" aspectratio="t"/>
                </v:shape>
                <v:shape id="_x0000_s1026" o:spid="_x0000_s1047" type="#_x0000_t202" style="width:725;height:512;left:8651;position:absolute;top:34486" coordsize="21600,21600" filled="t" fillcolor="white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eastAsia="宋体" w:hint="default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rFonts w:eastAsia="宋体"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t>(1)说明目前我国果蔬和薯类农产品从田间到餐桌损耗率高的主要原因。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4分）</w:t>
      </w:r>
    </w:p>
    <w:p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>
      <w:pPr>
        <w:shd w:val="clear" w:color="auto" w:fill="auto"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t>(2)简述A电商企业“最先一公里”建设对农产品销售的积极作用。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9分）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t>分析在西北五省区中，陕西西安建设数字化农产品产地仓的优势条件。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9分）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asciiTheme="majorEastAsia" w:eastAsiaTheme="majorEastAsia" w:hAnsiTheme="majorEastAsia" w:cstheme="majorEastAsia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  <w:lang w:val="en-US" w:eastAsia="zh-CN"/>
        </w:rPr>
        <w:t>19.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阅读材料，回答下列问题。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20分）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both"/>
        <w:textAlignment w:val="center"/>
        <w:rPr>
          <w:rFonts w:ascii="楷体" w:eastAsia="楷体" w:hAnsi="楷体" w:cs="楷体" w:hint="eastAsia"/>
          <w:color w:val="000000"/>
          <w:sz w:val="24"/>
          <w:szCs w:val="24"/>
        </w:rPr>
      </w:pPr>
      <w:r>
        <w:rPr>
          <w:rFonts w:ascii="楷体" w:eastAsia="楷体" w:hAnsi="楷体" w:cs="楷体" w:hint="eastAsia"/>
          <w:color w:val="000000"/>
          <w:sz w:val="24"/>
          <w:szCs w:val="24"/>
        </w:rPr>
        <w:t>喜马拉雅山冰川广布，有“地表河塔与地下水塔”之称。雅鲁藏布江穿行于众多山脉之间，在东部发育了大峡谷，它是季风水汽输送到青藏高原的主要通道.大峡谷地区海拔从北部2910米降至南部出口仅155米，全长超过500公里，宽度和长度位居世界峡谷之首.研究表明，未来图</w:t>
      </w:r>
      <w:r>
        <w:rPr>
          <w:rFonts w:ascii="楷体" w:eastAsia="楷体" w:hAnsi="楷体" w:cs="楷体" w:hint="eastAsia"/>
          <w:color w:val="000000"/>
          <w:sz w:val="24"/>
          <w:szCs w:val="24"/>
          <w:lang w:val="en-US" w:eastAsia="zh-CN"/>
        </w:rPr>
        <w:t>8</w:t>
      </w:r>
      <w:r>
        <w:rPr>
          <w:rFonts w:ascii="楷体" w:eastAsia="楷体" w:hAnsi="楷体" w:cs="楷体" w:hint="eastAsia"/>
          <w:color w:val="000000"/>
          <w:sz w:val="24"/>
          <w:szCs w:val="24"/>
        </w:rPr>
        <w:t>中虚线框内因河流侵蚀差异使得南北两侧分水岭位置移动不同，该处流域面积将出现缩小趋势。图</w:t>
      </w:r>
      <w:r>
        <w:rPr>
          <w:rFonts w:ascii="楷体" w:eastAsia="楷体" w:hAnsi="楷体" w:cs="楷体" w:hint="eastAsia"/>
          <w:color w:val="000000"/>
          <w:sz w:val="24"/>
          <w:szCs w:val="24"/>
          <w:lang w:val="en-US" w:eastAsia="zh-CN"/>
        </w:rPr>
        <w:t>9</w:t>
      </w:r>
      <w:r>
        <w:rPr>
          <w:rFonts w:ascii="楷体" w:eastAsia="楷体" w:hAnsi="楷体" w:cs="楷体" w:hint="eastAsia"/>
          <w:color w:val="000000"/>
          <w:sz w:val="24"/>
          <w:szCs w:val="24"/>
        </w:rPr>
        <w:t>示意虚线框内河段两分水岭的地形与年降水量状况。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both"/>
        <w:textAlignment w:val="center"/>
        <w:rPr>
          <w:rFonts w:ascii="楷体" w:eastAsia="楷体" w:hAnsi="楷体" w:cs="楷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Theme="majorEastAsia" w:eastAsiaTheme="majorEastAsia" w:hAnsiTheme="majorEastAsia" w:cstheme="majorEastAsia" w:hint="eastAsia"/>
          <w:color w:val="000000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50800</wp:posOffset>
                </wp:positionV>
                <wp:extent cx="4619625" cy="1652905"/>
                <wp:effectExtent l="0" t="0" r="9525" b="444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19625" cy="1652905"/>
                          <a:chOff x="3232" y="40882"/>
                          <a:chExt cx="7673" cy="2827"/>
                        </a:xfrm>
                      </wpg:grpSpPr>
                      <wps:wsp xmlns:wps="http://schemas.microsoft.com/office/word/2010/wordprocessingShape">
                        <wps:cNvPr id="27" name="文本框 27"/>
                        <wps:cNvSpPr txBox="1"/>
                        <wps:spPr>
                          <a:xfrm>
                            <a:off x="10180" y="42174"/>
                            <a:ext cx="725" cy="5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宋体" w:hint="default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4" name="图片 4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32" y="40882"/>
                            <a:ext cx="7103" cy="2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363.75pt;height:130.15pt;margin-top:4pt;margin-left:30.15pt;mso-height-relative:page;mso-width-relative:page;position:absolute;z-index:251678720" coordorigin="3232,40882" coordsize="7673,2827">
                <o:lock v:ext="edit" aspectratio="f"/>
                <v:shape id="_x0000_s1026" o:spid="_x0000_s1049" type="#_x0000_t202" style="width:725;height:512;left:10180;position:absolute;top:42174" coordsize="21600,21600" filled="t" fillcolor="white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eastAsia="宋体" w:hint="default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8</w:t>
                        </w:r>
                      </w:p>
                    </w:txbxContent>
                  </v:textbox>
                </v:shape>
                <v:shape id="_x0000_s1026" o:spid="_x0000_s1050" type="#_x0000_t75" alt="学科网(www.zxxk.com)--教育资源门户，提供试卷、教案、课件、论文、素材以及各类教学资源下载，还有大量而丰富的教学相关资讯！" style="width:7103;height:2827;left:3232;position:absolute;top:40882" coordsize="21600,21600" o:preferrelative="t" filled="f" stroked="f"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Theme="majorEastAsia" w:eastAsiaTheme="majorEastAsia" w:hAnsiTheme="majorEastAsia" w:cstheme="majorEastAsia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Theme="majorEastAsia" w:eastAsiaTheme="majorEastAsia" w:hAnsiTheme="majorEastAsia" w:cstheme="majorEastAsia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Theme="majorEastAsia" w:eastAsiaTheme="majorEastAsia" w:hAnsiTheme="majorEastAsia" w:cstheme="majorEastAsia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Theme="majorEastAsia" w:eastAsiaTheme="majorEastAsia" w:hAnsiTheme="majorEastAsia" w:cstheme="majorEastAsia" w:hint="eastAsia"/>
          <w:color w:val="000000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92710</wp:posOffset>
                </wp:positionV>
                <wp:extent cx="4864100" cy="2084070"/>
                <wp:effectExtent l="0" t="0" r="12700" b="1143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64100" cy="2084070"/>
                          <a:chOff x="11766" y="32138"/>
                          <a:chExt cx="7660" cy="3282"/>
                        </a:xfrm>
                      </wpg:grpSpPr>
                      <wps:wsp xmlns:wps="http://schemas.microsoft.com/office/word/2010/wordprocessingShape">
                        <wps:cNvPr id="25" name="文本框 25"/>
                        <wps:cNvSpPr txBox="1"/>
                        <wps:spPr>
                          <a:xfrm>
                            <a:off x="18702" y="33604"/>
                            <a:ext cx="725" cy="5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宋体" w:hint="default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0019" name="图片 10001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b="7715"/>
                          <a:stretch>
                            <a:fillRect/>
                          </a:stretch>
                        </pic:blipFill>
                        <pic:spPr>
                          <a:xfrm>
                            <a:off x="11766" y="32138"/>
                            <a:ext cx="7126" cy="32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383pt;height:164.1pt;margin-top:7.3pt;margin-left:13.75pt;mso-height-relative:page;mso-width-relative:page;position:absolute;z-index:251676672" coordorigin="11766,32138" coordsize="7660,3282">
                <o:lock v:ext="edit" aspectratio="f"/>
                <v:shape id="_x0000_s1026" o:spid="_x0000_s1052" type="#_x0000_t202" style="width:725;height:512;left:18702;position:absolute;top:33604" coordsize="21600,21600" filled="t" fillcolor="white" stroked="f" strokeweight="0.5pt">
                  <o:lock v:ext="edit" aspectratio="f"/>
                  <v:textbox>
                    <w:txbxContent>
                      <w:p>
                        <w:pPr>
                          <w:rPr>
                            <w:rFonts w:eastAsia="宋体" w:hint="default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图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9</w:t>
                        </w:r>
                      </w:p>
                    </w:txbxContent>
                  </v:textbox>
                </v:shape>
                <v:shape id="_x0000_s1026" o:spid="_x0000_s1053" type="#_x0000_t75" alt="学科网(www.zxxk.com)--教育资源门户，提供试卷、教案、课件、论文、素材以及各类教学资源下载，还有大量而丰富的教学相关资讯！" style="width:7126;height:3282;left:11766;position:absolute;top:32138" coordsize="21600,21600" o:preferrelative="t" filled="f" stroked="f">
                  <v:imagedata r:id="rId15" o:title="" cropbottom="5056f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Theme="majorEastAsia" w:eastAsiaTheme="majorEastAsia" w:hAnsiTheme="majorEastAsia" w:cstheme="majorEastAsia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Theme="majorEastAsia" w:eastAsiaTheme="majorEastAsia" w:hAnsiTheme="majorEastAsia" w:cstheme="majorEastAsia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Theme="majorEastAsia" w:eastAsiaTheme="majorEastAsia" w:hAnsiTheme="majorEastAsia" w:cstheme="majorEastAsia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/>
        <w:jc w:val="center"/>
        <w:textAlignment w:val="center"/>
        <w:rPr>
          <w:rFonts w:asciiTheme="majorEastAsia" w:eastAsiaTheme="majorEastAsia" w:hAnsiTheme="majorEastAsia" w:cstheme="majorEastAsia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（1）从水循环的角度，说明喜马拉雅山被称为“地表河塔与地下水塔”的原因。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8分）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（2）分析大峡谷地区成为青藏高原最大水汽输送通道的有利地形条件。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6分）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000000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（3）结合图</w:t>
      </w: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>9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信息，请论证图</w:t>
      </w:r>
      <w:r>
        <w:rPr>
          <w:rFonts w:ascii="宋体" w:hAnsi="宋体" w:cs="宋体" w:hint="eastAsia"/>
          <w:color w:val="000000"/>
          <w:sz w:val="24"/>
          <w:szCs w:val="24"/>
          <w:lang w:val="en-US" w:eastAsia="zh-CN"/>
        </w:rPr>
        <w:t>8</w:t>
      </w:r>
      <w:r>
        <w:rPr>
          <w:rFonts w:ascii="宋体" w:eastAsia="宋体" w:hAnsi="宋体" w:cs="宋体" w:hint="eastAsia"/>
          <w:color w:val="000000"/>
          <w:sz w:val="24"/>
          <w:szCs w:val="24"/>
        </w:rPr>
        <w:t>中虚线框内河段流域面积未来缩小的趋势</w:t>
      </w:r>
      <w:r>
        <w:rPr>
          <w:rFonts w:ascii="宋体" w:eastAsia="宋体" w:hAnsi="宋体" w:cs="宋体" w:hint="eastAsia"/>
          <w:color w:val="000000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6分）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ascii="宋体" w:eastAsia="宋体" w:hAnsi="宋体" w:cs="宋体" w:hint="eastAsia"/>
          <w:sz w:val="24"/>
          <w:szCs w:val="24"/>
        </w:rPr>
      </w:pPr>
    </w:p>
    <w:p>
      <w:pPr>
        <w:pStyle w:val="BodyText"/>
        <w:rPr>
          <w:rFonts w:ascii="宋体" w:eastAsia="宋体" w:hAnsi="宋体" w:cs="宋体" w:hint="eastAsia"/>
          <w:sz w:val="24"/>
          <w:szCs w:val="24"/>
          <w:lang w:val="en-US" w:eastAsia="zh-CN"/>
        </w:rPr>
      </w:pPr>
    </w:p>
    <w:p>
      <w:pPr>
        <w:pStyle w:val="TOC5"/>
        <w:rPr>
          <w:rFonts w:ascii="宋体" w:eastAsia="宋体" w:hAnsi="宋体" w:cs="宋体" w:hint="eastAsia"/>
          <w:sz w:val="24"/>
          <w:szCs w:val="24"/>
          <w:lang w:val="en-US" w:eastAsia="zh-CN"/>
        </w:rPr>
      </w:pPr>
    </w:p>
    <w:p>
      <w:pPr>
        <w:rPr>
          <w:rFonts w:ascii="宋体" w:eastAsia="宋体" w:hAnsi="宋体" w:cs="宋体" w:hint="eastAsia"/>
          <w:sz w:val="24"/>
          <w:szCs w:val="24"/>
          <w:lang w:val="en-US" w:eastAsia="zh-CN"/>
        </w:rPr>
      </w:pPr>
    </w:p>
    <w:p>
      <w:pPr>
        <w:rPr>
          <w:rFonts w:ascii="宋体" w:eastAsia="宋体" w:hAnsi="宋体" w:cs="宋体" w:hint="eastAsia"/>
          <w:sz w:val="24"/>
          <w:szCs w:val="24"/>
          <w:lang w:val="en-US" w:eastAsia="zh-CN"/>
        </w:rPr>
      </w:pPr>
    </w:p>
    <w:p>
      <w:pPr>
        <w:rPr>
          <w:rFonts w:ascii="宋体" w:eastAsia="宋体" w:hAnsi="宋体" w:cs="宋体" w:hint="eastAsia"/>
          <w:sz w:val="24"/>
          <w:szCs w:val="24"/>
          <w:lang w:val="en-US" w:eastAsia="zh-CN"/>
        </w:rPr>
      </w:pPr>
    </w:p>
    <w:p>
      <w:pPr>
        <w:rPr>
          <w:rFonts w:ascii="宋体" w:eastAsia="宋体" w:hAnsi="宋体" w:cs="宋体" w:hint="eastAsia"/>
          <w:sz w:val="24"/>
          <w:szCs w:val="24"/>
          <w:lang w:val="en-US" w:eastAsia="zh-CN"/>
        </w:rPr>
      </w:pPr>
    </w:p>
    <w:p>
      <w:pPr>
        <w:rPr>
          <w:rFonts w:ascii="宋体" w:eastAsia="宋体" w:hAnsi="宋体" w:cs="宋体" w:hint="eastAsia"/>
          <w:sz w:val="24"/>
          <w:szCs w:val="24"/>
          <w:lang w:val="en-US" w:eastAsia="zh-CN"/>
        </w:rPr>
      </w:pPr>
    </w:p>
    <w:p>
      <w:pPr>
        <w:rPr>
          <w:rFonts w:ascii="宋体" w:eastAsia="宋体" w:hAnsi="宋体" w:cs="宋体" w:hint="eastAsia"/>
          <w:sz w:val="24"/>
          <w:szCs w:val="24"/>
          <w:lang w:val="en-US" w:eastAsia="zh-CN"/>
        </w:rPr>
      </w:pPr>
    </w:p>
    <w:p>
      <w:pPr>
        <w:rPr>
          <w:rFonts w:ascii="宋体" w:eastAsia="宋体" w:hAnsi="宋体" w:cs="宋体" w:hint="eastAsia"/>
          <w:sz w:val="24"/>
          <w:szCs w:val="24"/>
          <w:lang w:val="en-US" w:eastAsia="zh-CN"/>
        </w:rPr>
      </w:pPr>
    </w:p>
    <w:p>
      <w:pPr>
        <w:spacing w:line="360" w:lineRule="auto"/>
        <w:jc w:val="center"/>
        <w:rPr>
          <w:rFonts w:ascii="宋体" w:eastAsia="宋体" w:hAnsi="宋体" w:cs="宋体" w:hint="eastAsia"/>
          <w:b/>
          <w:bCs/>
          <w:color w:val="auto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b/>
          <w:bCs/>
          <w:color w:val="auto"/>
          <w:sz w:val="24"/>
          <w:szCs w:val="24"/>
        </w:rPr>
        <w:t>地理科</w:t>
      </w:r>
      <w:r>
        <w:rPr>
          <w:rFonts w:ascii="宋体" w:eastAsia="宋体" w:hAnsi="宋体" w:cs="宋体" w:hint="eastAsia"/>
          <w:b/>
          <w:bCs/>
          <w:color w:val="auto"/>
          <w:sz w:val="24"/>
          <w:szCs w:val="24"/>
          <w:lang w:eastAsia="zh-CN"/>
        </w:rPr>
        <w:t>评分细则</w:t>
      </w:r>
    </w:p>
    <w:p>
      <w:pPr>
        <w:numPr>
          <w:ilvl w:val="0"/>
          <w:numId w:val="6"/>
        </w:numPr>
        <w:spacing w:line="360" w:lineRule="auto"/>
        <w:rPr>
          <w:rFonts w:ascii="宋体" w:eastAsia="宋体" w:hAnsi="宋体" w:cs="宋体" w:hint="eastAsia"/>
          <w:b/>
          <w:color w:val="auto"/>
          <w:sz w:val="24"/>
          <w:szCs w:val="24"/>
        </w:rPr>
      </w:pPr>
      <w:r>
        <w:rPr>
          <w:rFonts w:ascii="宋体" w:eastAsia="宋体" w:hAnsi="宋体" w:cs="宋体" w:hint="eastAsia"/>
          <w:b/>
          <w:color w:val="auto"/>
          <w:sz w:val="24"/>
          <w:szCs w:val="24"/>
        </w:rPr>
        <w:t>选择题（共16小题，每小题3分，共48分。）</w:t>
      </w:r>
    </w:p>
    <w:p>
      <w:pPr>
        <w:numPr>
          <w:ilvl w:val="0"/>
          <w:numId w:val="0"/>
        </w:numPr>
        <w:spacing w:line="360" w:lineRule="auto"/>
        <w:rPr>
          <w:rFonts w:ascii="宋体" w:eastAsia="宋体" w:hAnsi="宋体" w:cs="宋体" w:hint="eastAsia"/>
          <w:b/>
          <w:color w:val="auto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C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C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C</w:t>
            </w:r>
          </w:p>
        </w:tc>
        <w:tc>
          <w:tcPr>
            <w:tcW w:w="947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947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jc w:val="center"/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C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A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A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D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A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D</w:t>
            </w:r>
          </w:p>
        </w:tc>
        <w:tc>
          <w:tcPr>
            <w:tcW w:w="947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D</w:t>
            </w:r>
          </w:p>
        </w:tc>
        <w:tc>
          <w:tcPr>
            <w:tcW w:w="947" w:type="dxa"/>
          </w:tcPr>
          <w:p>
            <w:pPr>
              <w:jc w:val="center"/>
              <w:rPr>
                <w:rFonts w:ascii="宋体" w:eastAsia="宋体" w:hAnsi="宋体" w:cs="宋体" w:hint="default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</w:tr>
    </w:tbl>
    <w:p>
      <w:pPr>
        <w:jc w:val="center"/>
        <w:rPr>
          <w:rFonts w:ascii="宋体" w:eastAsia="宋体" w:hAnsi="宋体" w:cs="宋体" w:hint="eastAsia"/>
          <w:b/>
          <w:color w:val="auto"/>
          <w:sz w:val="24"/>
          <w:szCs w:val="24"/>
        </w:rPr>
      </w:pPr>
    </w:p>
    <w:p>
      <w:pPr>
        <w:numPr>
          <w:ilvl w:val="0"/>
          <w:numId w:val="7"/>
        </w:numPr>
        <w:jc w:val="both"/>
        <w:rPr>
          <w:rFonts w:ascii="宋体" w:eastAsia="宋体" w:hAnsi="宋体" w:cs="宋体" w:hint="eastAsia"/>
          <w:b/>
          <w:color w:val="auto"/>
          <w:sz w:val="24"/>
          <w:szCs w:val="24"/>
        </w:rPr>
      </w:pPr>
      <w:r>
        <w:rPr>
          <w:rFonts w:ascii="宋体" w:eastAsia="宋体" w:hAnsi="宋体" w:cs="宋体" w:hint="eastAsia"/>
          <w:b/>
          <w:color w:val="auto"/>
          <w:sz w:val="24"/>
          <w:szCs w:val="24"/>
        </w:rPr>
        <w:t>综合题（本大题共3小题，共52分）</w:t>
      </w:r>
    </w:p>
    <w:p>
      <w:pPr>
        <w:pStyle w:val="NoSpacing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color w:val="auto"/>
          <w:sz w:val="24"/>
          <w:szCs w:val="24"/>
        </w:rPr>
      </w:pP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(10分）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</w:pPr>
      <w:r>
        <w:rPr>
          <w:rFonts w:ascii="宋体" w:eastAsia="宋体" w:hAnsi="宋体" w:cs="宋体" w:hint="eastAsia"/>
          <w:color w:val="auto"/>
          <w:sz w:val="24"/>
          <w:szCs w:val="24"/>
        </w:rPr>
        <w:t>（1）相似：广府、潮汕和客家三大汉民系都以耕作业为主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(2分)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</w:pPr>
      <w:r>
        <w:rPr>
          <w:rFonts w:ascii="宋体" w:eastAsia="宋体" w:hAnsi="宋体" w:cs="宋体" w:hint="eastAsia"/>
          <w:color w:val="auto"/>
          <w:sz w:val="24"/>
          <w:szCs w:val="24"/>
        </w:rPr>
        <w:t>，在此基础上发展林果业、淡水或滩涂养殖业；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(1分)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ascii="宋体" w:eastAsia="宋体" w:hAnsi="宋体" w:cs="宋体" w:hint="eastAsia"/>
          <w:color w:val="auto"/>
          <w:sz w:val="24"/>
          <w:szCs w:val="24"/>
        </w:rPr>
      </w:pPr>
      <w:r>
        <w:rPr>
          <w:rFonts w:ascii="宋体" w:eastAsia="宋体" w:hAnsi="宋体" w:cs="宋体" w:hint="eastAsia"/>
          <w:color w:val="auto"/>
          <w:sz w:val="24"/>
          <w:szCs w:val="24"/>
        </w:rPr>
        <w:t>不同：广府汉民系以耕作业、林业、淡水养殖业为主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(1分)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；潮汕汉民系以耕作业和海水养殖业为主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(1分)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；客家汉民系以耕作业和林果业为主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(1分)（不同点学生没写耕作业也可给分）</w:t>
      </w:r>
      <w:r>
        <w:rPr>
          <w:rFonts w:ascii="宋体" w:eastAsia="宋体" w:hAnsi="宋体" w:cs="宋体" w:hint="eastAsia"/>
          <w:color w:val="auto"/>
          <w:sz w:val="24"/>
          <w:szCs w:val="24"/>
        </w:rPr>
        <w:t xml:space="preserve">。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ascii="宋体" w:eastAsia="宋体" w:hAnsi="宋体" w:cs="宋体" w:hint="eastAsia"/>
          <w:color w:val="auto"/>
          <w:sz w:val="24"/>
          <w:szCs w:val="24"/>
        </w:rPr>
      </w:pPr>
      <w:r>
        <w:rPr>
          <w:rFonts w:ascii="宋体" w:eastAsia="宋体" w:hAnsi="宋体" w:cs="宋体" w:hint="eastAsia"/>
          <w:color w:val="auto"/>
          <w:sz w:val="24"/>
          <w:szCs w:val="24"/>
        </w:rPr>
        <w:t>（2）不临海：与海洋保持一定距离，避免台风、风暴潮、海啸等海洋灾害对聚落的破坏；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(2分)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近海：距离海洋较近，便于开发利用海洋资源，发展海运业、捕捞业和养殖业等。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(2分)</w:t>
      </w:r>
    </w:p>
    <w:p>
      <w:pPr>
        <w:pStyle w:val="NoSpacing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eastAsia="宋体" w:hAnsi="宋体" w:cs="宋体" w:hint="eastAsia"/>
          <w:color w:val="auto"/>
          <w:sz w:val="24"/>
          <w:szCs w:val="24"/>
        </w:rPr>
      </w:pPr>
    </w:p>
    <w:p>
      <w:pPr>
        <w:pStyle w:val="NoSpacing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leftChars="0" w:firstLineChars="0"/>
        <w:rPr>
          <w:rFonts w:ascii="宋体" w:eastAsia="宋体" w:hAnsi="宋体" w:cs="宋体" w:hint="eastAsia"/>
          <w:color w:val="auto"/>
          <w:sz w:val="24"/>
          <w:szCs w:val="24"/>
        </w:rPr>
      </w:pPr>
      <w:r>
        <w:rPr>
          <w:rFonts w:ascii="宋体" w:eastAsia="宋体" w:hAnsi="宋体" w:cs="宋体" w:hint="eastAsia"/>
          <w:color w:val="auto"/>
          <w:sz w:val="24"/>
          <w:szCs w:val="24"/>
          <w:lang w:eastAsia="zh-CN"/>
        </w:rPr>
        <w:t>（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22分</w:t>
      </w:r>
      <w:r>
        <w:rPr>
          <w:rFonts w:ascii="宋体" w:eastAsia="宋体" w:hAnsi="宋体" w:cs="宋体" w:hint="eastAsia"/>
          <w:color w:val="auto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  <w:t>(1)农户市场信息掌握不及时，农产品不能及时销售；农村基础设施薄弱，缺少仓储保鲜设施和快捷的物流系统。（一点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val="en-US" w:eastAsia="zh-CN"/>
        </w:rPr>
        <w:t>2分，共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  <w:t>4分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val="en-US" w:eastAsia="zh-CN"/>
        </w:rPr>
        <w:t>,第二点学生答冷藏保鲜技术不足，交通不便也可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  <w:t>(2)改善乡村物流条件（2分），加强农户和市场联系（1分）；产地仓和冷链物流体系畅通高效（2分），利于加快农产品的流通，降低损耗率（1分）；产地仓和冷链物流有效保障农产品品质（2分），利于农产品增值和品牌创设（1分）。（共9分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val="en-US" w:eastAsia="zh-CN"/>
        </w:rPr>
        <w:t>,学生</w:t>
      </w:r>
      <w:r>
        <w:rPr>
          <w:rFonts w:ascii="宋体" w:hAnsi="宋体" w:cs="宋体" w:hint="eastAsia"/>
          <w:color w:val="auto"/>
          <w:sz w:val="24"/>
          <w:szCs w:val="24"/>
          <w:lang w:val="en-US" w:eastAsia="zh-CN"/>
        </w:rPr>
        <w:t>言之有理可酌情给分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rPr>
          <w:rFonts w:ascii="宋体" w:eastAsia="宋体" w:hAnsi="宋体" w:cs="宋体" w:hint="eastAsia"/>
          <w:b/>
          <w:color w:val="auto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  <w:t>(3)西安位于我国东西交通干线上，交通便利；是西北五省区经济中心城市，辐射能力强；靠近我国陆地几何中心（写地理位置优越也可），方便我国各地果蔬的集散；农产品种类多、产量大。（9分，任答3点即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</w:pPr>
    </w:p>
    <w:p>
      <w:pPr>
        <w:pStyle w:val="NoSpacing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rPr>
          <w:rFonts w:ascii="宋体" w:eastAsia="宋体" w:hAnsi="宋体" w:cs="宋体" w:hint="eastAsia"/>
          <w:color w:val="auto"/>
          <w:sz w:val="24"/>
          <w:szCs w:val="24"/>
        </w:rPr>
      </w:pPr>
      <w:r>
        <w:rPr>
          <w:rFonts w:ascii="宋体" w:hAnsi="宋体" w:cs="宋体" w:hint="eastAsia"/>
          <w:color w:val="auto"/>
          <w:sz w:val="24"/>
          <w:szCs w:val="24"/>
          <w:lang w:val="en-US" w:eastAsia="zh-CN"/>
        </w:rPr>
        <w:t>19.</w:t>
      </w:r>
      <w:r>
        <w:rPr>
          <w:rFonts w:ascii="宋体" w:eastAsia="宋体" w:hAnsi="宋体" w:cs="宋体" w:hint="eastAsia"/>
          <w:color w:val="auto"/>
          <w:sz w:val="24"/>
          <w:szCs w:val="24"/>
          <w:lang w:eastAsia="zh-CN"/>
        </w:rPr>
        <w:t>（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2</w:t>
      </w:r>
      <w:r>
        <w:rPr>
          <w:rFonts w:ascii="宋体" w:hAnsi="宋体" w:cs="宋体" w:hint="eastAsia"/>
          <w:color w:val="auto"/>
          <w:sz w:val="24"/>
          <w:szCs w:val="24"/>
          <w:lang w:val="en-US" w:eastAsia="zh-CN"/>
        </w:rPr>
        <w:t>0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分</w:t>
      </w:r>
      <w:r>
        <w:rPr>
          <w:rFonts w:ascii="宋体" w:eastAsia="宋体" w:hAnsi="宋体" w:cs="宋体" w:hint="eastAsia"/>
          <w:color w:val="auto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ascii="宋体" w:eastAsia="宋体" w:hAnsi="宋体" w:cs="宋体" w:hint="eastAsia"/>
          <w:color w:val="auto"/>
          <w:sz w:val="24"/>
          <w:szCs w:val="24"/>
        </w:rPr>
      </w:pPr>
      <w:r>
        <w:rPr>
          <w:rFonts w:ascii="宋体" w:eastAsia="宋体" w:hAnsi="宋体" w:cs="宋体" w:hint="eastAsia"/>
          <w:color w:val="auto"/>
          <w:sz w:val="24"/>
          <w:szCs w:val="24"/>
        </w:rPr>
        <w:t>（1）高山地形对季风水汽抬升，降水丰富；山岳冰川广布，储存固态水源(冰雪融水多)；发育众多河流形成地表径流，向河流下游输水；地表水经断裂带下渗形成地下水</w:t>
      </w:r>
      <w:r>
        <w:rPr>
          <w:rFonts w:ascii="宋体" w:eastAsia="宋体" w:hAnsi="宋体" w:cs="宋体" w:hint="eastAsia"/>
          <w:color w:val="auto"/>
          <w:sz w:val="24"/>
          <w:szCs w:val="24"/>
          <w:lang w:eastAsia="zh-CN"/>
        </w:rPr>
        <w:t>（或地下径流也可）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，向海拔低处的含水层输送。</w:t>
      </w:r>
      <w:r>
        <w:rPr>
          <w:rFonts w:ascii="宋体" w:eastAsia="宋体" w:hAnsi="宋体" w:cs="宋体" w:hint="eastAsia"/>
          <w:color w:val="auto"/>
          <w:sz w:val="24"/>
          <w:szCs w:val="24"/>
          <w:lang w:eastAsia="zh-CN"/>
        </w:rPr>
        <w:t>（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  <w:t>一点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val="en-US" w:eastAsia="zh-CN"/>
        </w:rPr>
        <w:t>2分，共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8分）</w:t>
      </w:r>
      <w:r>
        <w:rPr>
          <w:rFonts w:ascii="宋体" w:eastAsia="宋体" w:hAnsi="宋体" w:cs="宋体" w:hint="eastAsia"/>
          <w:color w:val="auto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ascii="宋体" w:eastAsia="宋体" w:hAnsi="宋体" w:cs="宋体" w:hint="eastAsia"/>
          <w:color w:val="auto"/>
          <w:sz w:val="24"/>
          <w:szCs w:val="24"/>
        </w:rPr>
      </w:pPr>
      <w:r>
        <w:rPr>
          <w:rFonts w:ascii="宋体" w:eastAsia="宋体" w:hAnsi="宋体" w:cs="宋体" w:hint="eastAsia"/>
          <w:color w:val="auto"/>
          <w:sz w:val="24"/>
          <w:szCs w:val="24"/>
        </w:rPr>
        <w:t>（2）大峡谷地区总体海拔较低，对水汽阻挡弱</w:t>
      </w:r>
      <w:r>
        <w:rPr>
          <w:rFonts w:ascii="宋体" w:eastAsia="宋体" w:hAnsi="宋体" w:cs="宋体" w:hint="eastAsia"/>
          <w:color w:val="auto"/>
          <w:sz w:val="24"/>
          <w:szCs w:val="24"/>
          <w:lang w:eastAsia="zh-CN"/>
        </w:rPr>
        <w:t>；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峡谷纵深长、谷口宽度大，利于水汽深入青藏高原</w:t>
      </w:r>
      <w:r>
        <w:rPr>
          <w:rFonts w:ascii="宋体" w:eastAsia="宋体" w:hAnsi="宋体" w:cs="宋体" w:hint="eastAsia"/>
          <w:color w:val="auto"/>
          <w:sz w:val="24"/>
          <w:szCs w:val="24"/>
          <w:lang w:eastAsia="zh-CN"/>
        </w:rPr>
        <w:t>；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谷口朝向西南，形成季风水汽通道</w:t>
      </w:r>
      <w:r>
        <w:rPr>
          <w:rFonts w:ascii="宋体" w:eastAsia="宋体" w:hAnsi="宋体" w:cs="宋体" w:hint="eastAsia"/>
          <w:color w:val="auto"/>
          <w:sz w:val="24"/>
          <w:szCs w:val="24"/>
          <w:lang w:eastAsia="zh-CN"/>
        </w:rPr>
        <w:t>；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峡谷段自南向北地势升高，利于水汽逐步深入。</w:t>
      </w:r>
      <w:r>
        <w:rPr>
          <w:rFonts w:ascii="宋体" w:eastAsia="宋体" w:hAnsi="宋体" w:cs="宋体" w:hint="eastAsia"/>
          <w:color w:val="auto"/>
          <w:sz w:val="24"/>
          <w:szCs w:val="24"/>
          <w:lang w:eastAsia="zh-CN"/>
        </w:rPr>
        <w:t>（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6分，任答3点即可）</w:t>
      </w:r>
      <w:r>
        <w:rPr>
          <w:rFonts w:ascii="宋体" w:eastAsia="宋体" w:hAnsi="宋体" w:cs="宋体" w:hint="eastAsia"/>
          <w:color w:val="auto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ascii="宋体" w:eastAsia="宋体" w:hAnsi="宋体" w:cs="宋体" w:hint="eastAsia"/>
          <w:color w:val="auto"/>
          <w:sz w:val="24"/>
          <w:szCs w:val="24"/>
        </w:rPr>
      </w:pPr>
      <w:r>
        <w:rPr>
          <w:rFonts w:ascii="宋体" w:eastAsia="宋体" w:hAnsi="宋体" w:cs="宋体" w:hint="eastAsia"/>
          <w:color w:val="auto"/>
          <w:sz w:val="24"/>
          <w:szCs w:val="24"/>
        </w:rPr>
        <w:t>（3）喜马拉雅分水岭南侧比北侧降水较多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  <w:t>（1分）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，落差较大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  <w:t>（1分）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，河流溯源侵蚀更强，分水岭向北迁移速度更快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  <w:t>（1分）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；冈底斯山分水岭南、北侧降水与落差的差异较小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  <w:t>（1分）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，河流溯源侵蚀弱，分水岭北移速度较慢或位置稳定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  <w:t>（1分）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；喜马拉雅分水岭北移逐渐靠近冈底斯山分水岭</w:t>
      </w:r>
      <w:r>
        <w:rPr>
          <w:rFonts w:ascii="宋体" w:eastAsia="宋体" w:hAnsi="宋体" w:cs="宋体" w:hint="eastAsia"/>
          <w:b w:val="0"/>
          <w:bCs/>
          <w:color w:val="auto"/>
          <w:sz w:val="24"/>
          <w:szCs w:val="24"/>
          <w:lang w:eastAsia="zh-CN"/>
        </w:rPr>
        <w:t>（1分）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，导致流域面积缩小。</w:t>
      </w:r>
      <w:r>
        <w:rPr>
          <w:rFonts w:ascii="宋体" w:eastAsia="宋体" w:hAnsi="宋体" w:cs="宋体" w:hint="eastAsia"/>
          <w:color w:val="auto"/>
          <w:sz w:val="24"/>
          <w:szCs w:val="24"/>
          <w:lang w:eastAsia="zh-CN"/>
        </w:rPr>
        <w:t>（第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1点、第2点共5分，学生把两座山的地形和降水都分开写，也最多给5分，结论：</w:t>
      </w:r>
      <w:r>
        <w:rPr>
          <w:rFonts w:ascii="宋体" w:eastAsia="宋体" w:hAnsi="宋体" w:cs="宋体" w:hint="eastAsia"/>
          <w:color w:val="auto"/>
          <w:sz w:val="24"/>
          <w:szCs w:val="24"/>
        </w:rPr>
        <w:t>喜马拉雅分水岭北移逐渐靠近冈底斯山分水岭</w:t>
      </w:r>
      <w:r>
        <w:rPr>
          <w:rFonts w:ascii="宋体" w:eastAsia="宋体" w:hAnsi="宋体" w:cs="宋体" w:hint="eastAsia"/>
          <w:color w:val="auto"/>
          <w:sz w:val="24"/>
          <w:szCs w:val="24"/>
          <w:lang w:eastAsia="zh-CN"/>
        </w:rPr>
        <w:t>，或两分水岭之间的距离缩短占</w:t>
      </w:r>
      <w:r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  <w:t>1分，总计6分）</w:t>
      </w:r>
    </w:p>
    <w:p>
      <w:pPr>
        <w:numPr>
          <w:ilvl w:val="0"/>
          <w:numId w:val="0"/>
        </w:numPr>
        <w:jc w:val="both"/>
        <w:rPr>
          <w:rFonts w:ascii="宋体" w:eastAsia="宋体" w:hAnsi="宋体" w:cs="宋体" w:hint="eastAsia"/>
          <w:b/>
          <w:color w:val="auto"/>
          <w:sz w:val="24"/>
          <w:szCs w:val="24"/>
          <w:lang w:eastAsia="zh-CN"/>
        </w:rPr>
      </w:pPr>
    </w:p>
    <w:p>
      <w:pPr>
        <w:rPr>
          <w:rFonts w:ascii="宋体" w:eastAsia="宋体" w:hAnsi="宋体" w:cs="宋体" w:hint="eastAsia"/>
          <w:sz w:val="24"/>
          <w:szCs w:val="24"/>
          <w:lang w:val="en-US" w:eastAsia="zh-CN"/>
        </w:rPr>
      </w:pPr>
    </w:p>
    <w:p>
      <w:pPr>
        <w:spacing w:line="240" w:lineRule="auto"/>
        <w:jc w:val="left"/>
        <w:textAlignment w:val="center"/>
        <w:rPr>
          <w:rFonts w:ascii="宋体" w:eastAsia="宋体" w:hAnsi="宋体" w:cs="宋体" w:hint="eastAsia"/>
          <w:color w:val="auto"/>
          <w:sz w:val="24"/>
          <w:szCs w:val="24"/>
          <w:lang w:val="en-US" w:eastAsia="zh-CN"/>
        </w:rPr>
      </w:pPr>
    </w:p>
    <w:p>
      <w:pPr>
        <w:shd w:val="clear" w:color="auto" w:fill="FFFFFF"/>
        <w:spacing w:line="240" w:lineRule="auto"/>
        <w:jc w:val="left"/>
        <w:textAlignment w:val="center"/>
        <w:rPr>
          <w:rFonts w:ascii="宋体" w:eastAsia="宋体" w:hAnsi="宋体" w:cs="宋体" w:hint="eastAsia"/>
          <w:sz w:val="24"/>
          <w:szCs w:val="24"/>
          <w:lang w:val="en-US" w:eastAsia="zh-CN"/>
        </w:rPr>
      </w:pPr>
    </w:p>
    <w:sectPr>
      <w:pgSz w:w="20863" w:h="14740" w:orient="landscape"/>
      <w:pgMar w:top="1588" w:right="1418" w:bottom="1588" w:left="1418" w:header="851" w:footer="992" w:gutter="0"/>
      <w:pgNumType w:fmt="decimal"/>
      <w:cols w:num="2" w:space="94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美黑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楷体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E2B45E9"/>
    <w:multiLevelType w:val="singleLevel"/>
    <w:tmpl w:val="AE2B45E9"/>
    <w:lvl w:ilvl="0">
      <w:start w:val="1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1762F61"/>
    <w:multiLevelType w:val="singleLevel"/>
    <w:tmpl w:val="B1762F61"/>
    <w:lvl w:ilvl="0">
      <w:start w:val="1"/>
      <w:numFmt w:val="upperLetter"/>
      <w:suff w:val="nothing"/>
      <w:lvlText w:val="%1．"/>
      <w:lvlJc w:val="left"/>
    </w:lvl>
  </w:abstractNum>
  <w:abstractNum w:abstractNumId="2">
    <w:nsid w:val="B9BB6F4B"/>
    <w:multiLevelType w:val="singleLevel"/>
    <w:tmpl w:val="B9BB6F4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7F201A4"/>
    <w:multiLevelType w:val="singleLevel"/>
    <w:tmpl w:val="07F201A4"/>
    <w:lvl w:ilvl="0">
      <w:start w:val="1"/>
      <w:numFmt w:val="upperLetter"/>
      <w:suff w:val="space"/>
      <w:lvlText w:val="%1."/>
      <w:lvlJc w:val="left"/>
    </w:lvl>
  </w:abstractNum>
  <w:abstractNum w:abstractNumId="4">
    <w:nsid w:val="0C8544AF"/>
    <w:multiLevelType w:val="singleLevel"/>
    <w:tmpl w:val="0C8544AF"/>
    <w:lvl w:ilvl="0">
      <w:start w:val="10"/>
      <w:numFmt w:val="decimal"/>
      <w:suff w:val="nothing"/>
      <w:lvlText w:val="%1．"/>
      <w:lvlJc w:val="left"/>
    </w:lvl>
  </w:abstractNum>
  <w:abstractNum w:abstractNumId="5">
    <w:nsid w:val="2115908D"/>
    <w:multiLevelType w:val="singleLevel"/>
    <w:tmpl w:val="2115908D"/>
    <w:lvl w:ilvl="0">
      <w:start w:val="1"/>
      <w:numFmt w:val="upperLetter"/>
      <w:suff w:val="nothing"/>
      <w:lvlText w:val="%1．"/>
      <w:lvlJc w:val="left"/>
    </w:lvl>
  </w:abstractNum>
  <w:abstractNum w:abstractNumId="6">
    <w:nsid w:val="516299EC"/>
    <w:multiLevelType w:val="singleLevel"/>
    <w:tmpl w:val="516299E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5739F7B7"/>
    <w:multiLevelType w:val="singleLevel"/>
    <w:tmpl w:val="5739F7B7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B9F"/>
    <w:rsid w:val="00023532"/>
    <w:rsid w:val="00064016"/>
    <w:rsid w:val="000824BB"/>
    <w:rsid w:val="0013517D"/>
    <w:rsid w:val="00154B1C"/>
    <w:rsid w:val="001641A7"/>
    <w:rsid w:val="00167999"/>
    <w:rsid w:val="00177634"/>
    <w:rsid w:val="001A21B9"/>
    <w:rsid w:val="001E257D"/>
    <w:rsid w:val="00241067"/>
    <w:rsid w:val="00293FF2"/>
    <w:rsid w:val="003165C9"/>
    <w:rsid w:val="00356A0D"/>
    <w:rsid w:val="003730DE"/>
    <w:rsid w:val="00381320"/>
    <w:rsid w:val="003A6977"/>
    <w:rsid w:val="003C1990"/>
    <w:rsid w:val="003D3A6D"/>
    <w:rsid w:val="003F5B1E"/>
    <w:rsid w:val="004012DC"/>
    <w:rsid w:val="00414E31"/>
    <w:rsid w:val="004151FC"/>
    <w:rsid w:val="00416CE9"/>
    <w:rsid w:val="00417CD4"/>
    <w:rsid w:val="004A7EBE"/>
    <w:rsid w:val="004C51E1"/>
    <w:rsid w:val="004D093E"/>
    <w:rsid w:val="004F2FD0"/>
    <w:rsid w:val="00544B90"/>
    <w:rsid w:val="00570AAD"/>
    <w:rsid w:val="005A07EC"/>
    <w:rsid w:val="005A4F58"/>
    <w:rsid w:val="005B451F"/>
    <w:rsid w:val="005F73BE"/>
    <w:rsid w:val="006217D0"/>
    <w:rsid w:val="00657082"/>
    <w:rsid w:val="0066591A"/>
    <w:rsid w:val="00735E0F"/>
    <w:rsid w:val="00743209"/>
    <w:rsid w:val="007552B6"/>
    <w:rsid w:val="007671DF"/>
    <w:rsid w:val="008207C5"/>
    <w:rsid w:val="00860761"/>
    <w:rsid w:val="008C0B75"/>
    <w:rsid w:val="008E5FD8"/>
    <w:rsid w:val="008F0FC7"/>
    <w:rsid w:val="00941EA3"/>
    <w:rsid w:val="0099686D"/>
    <w:rsid w:val="009D7496"/>
    <w:rsid w:val="009E3CD0"/>
    <w:rsid w:val="00A1247F"/>
    <w:rsid w:val="00A225AC"/>
    <w:rsid w:val="00AA4D07"/>
    <w:rsid w:val="00AD2C66"/>
    <w:rsid w:val="00AE102E"/>
    <w:rsid w:val="00AF1D79"/>
    <w:rsid w:val="00B034CD"/>
    <w:rsid w:val="00B32C64"/>
    <w:rsid w:val="00B3557B"/>
    <w:rsid w:val="00B523FB"/>
    <w:rsid w:val="00B63E1B"/>
    <w:rsid w:val="00BA2B9F"/>
    <w:rsid w:val="00BB2F6F"/>
    <w:rsid w:val="00BC2921"/>
    <w:rsid w:val="00C02FC6"/>
    <w:rsid w:val="00C51E80"/>
    <w:rsid w:val="00C678BD"/>
    <w:rsid w:val="00CB3139"/>
    <w:rsid w:val="00CD77AE"/>
    <w:rsid w:val="00CE02EB"/>
    <w:rsid w:val="00CE32B9"/>
    <w:rsid w:val="00CE78EB"/>
    <w:rsid w:val="00D11FAA"/>
    <w:rsid w:val="00D601F2"/>
    <w:rsid w:val="00D6576F"/>
    <w:rsid w:val="00D67593"/>
    <w:rsid w:val="00D9579C"/>
    <w:rsid w:val="00DC7CAD"/>
    <w:rsid w:val="00E419A8"/>
    <w:rsid w:val="00E760BE"/>
    <w:rsid w:val="00EE5C1A"/>
    <w:rsid w:val="00F23DF1"/>
    <w:rsid w:val="00F31B15"/>
    <w:rsid w:val="00F66E2B"/>
    <w:rsid w:val="00FC025D"/>
    <w:rsid w:val="00FC158E"/>
    <w:rsid w:val="00FD2FF8"/>
    <w:rsid w:val="00FF2C27"/>
    <w:rsid w:val="04B56025"/>
    <w:rsid w:val="05071D38"/>
    <w:rsid w:val="05ED6429"/>
    <w:rsid w:val="05F56E83"/>
    <w:rsid w:val="0A3379CB"/>
    <w:rsid w:val="0ACA5913"/>
    <w:rsid w:val="0B2233A6"/>
    <w:rsid w:val="106D3EDC"/>
    <w:rsid w:val="138D2BCA"/>
    <w:rsid w:val="13BA58D3"/>
    <w:rsid w:val="149F2BE5"/>
    <w:rsid w:val="15306CE7"/>
    <w:rsid w:val="162E1537"/>
    <w:rsid w:val="1889694C"/>
    <w:rsid w:val="1AA753F4"/>
    <w:rsid w:val="1CD27794"/>
    <w:rsid w:val="1F6E1B65"/>
    <w:rsid w:val="1FDC4A7B"/>
    <w:rsid w:val="20B147CB"/>
    <w:rsid w:val="20D87495"/>
    <w:rsid w:val="23D34A9B"/>
    <w:rsid w:val="25BA1DF4"/>
    <w:rsid w:val="283755B5"/>
    <w:rsid w:val="2B206D89"/>
    <w:rsid w:val="2BA95E0A"/>
    <w:rsid w:val="2D4D4CA3"/>
    <w:rsid w:val="30507261"/>
    <w:rsid w:val="320D2C98"/>
    <w:rsid w:val="32886385"/>
    <w:rsid w:val="32B25311"/>
    <w:rsid w:val="33EC4652"/>
    <w:rsid w:val="36752462"/>
    <w:rsid w:val="38094655"/>
    <w:rsid w:val="383C09C6"/>
    <w:rsid w:val="38B800AC"/>
    <w:rsid w:val="39A21310"/>
    <w:rsid w:val="3AC7549D"/>
    <w:rsid w:val="3BBF3392"/>
    <w:rsid w:val="3CFA67C1"/>
    <w:rsid w:val="40582CF7"/>
    <w:rsid w:val="41BF48D3"/>
    <w:rsid w:val="41FA16D6"/>
    <w:rsid w:val="44EF24B6"/>
    <w:rsid w:val="458B498F"/>
    <w:rsid w:val="46931FD7"/>
    <w:rsid w:val="474C09FE"/>
    <w:rsid w:val="49E072BD"/>
    <w:rsid w:val="4A046479"/>
    <w:rsid w:val="4CE057D6"/>
    <w:rsid w:val="4E1B3100"/>
    <w:rsid w:val="4E7076FB"/>
    <w:rsid w:val="4E71791C"/>
    <w:rsid w:val="4F170EB3"/>
    <w:rsid w:val="51FD42B3"/>
    <w:rsid w:val="54AF45A2"/>
    <w:rsid w:val="553C4509"/>
    <w:rsid w:val="55711857"/>
    <w:rsid w:val="56330C3A"/>
    <w:rsid w:val="5685753A"/>
    <w:rsid w:val="57BA79E9"/>
    <w:rsid w:val="58FF717A"/>
    <w:rsid w:val="59036248"/>
    <w:rsid w:val="59575007"/>
    <w:rsid w:val="59DD6ED0"/>
    <w:rsid w:val="5B2E3C23"/>
    <w:rsid w:val="5E6A1D22"/>
    <w:rsid w:val="607525E8"/>
    <w:rsid w:val="608F405C"/>
    <w:rsid w:val="60A415C4"/>
    <w:rsid w:val="613227E3"/>
    <w:rsid w:val="616A6C8B"/>
    <w:rsid w:val="647D0127"/>
    <w:rsid w:val="64AA020A"/>
    <w:rsid w:val="65213F9C"/>
    <w:rsid w:val="65A56E55"/>
    <w:rsid w:val="6E121418"/>
    <w:rsid w:val="6F0336B4"/>
    <w:rsid w:val="6F8C2AEA"/>
    <w:rsid w:val="71814AC1"/>
    <w:rsid w:val="72794087"/>
    <w:rsid w:val="747F5FBA"/>
    <w:rsid w:val="74E85ACC"/>
    <w:rsid w:val="766A126A"/>
    <w:rsid w:val="768411C9"/>
    <w:rsid w:val="77DA763E"/>
    <w:rsid w:val="795921FB"/>
    <w:rsid w:val="7E1620D0"/>
    <w:rsid w:val="7FDB6DC9"/>
  </w:rsids>
  <w:docVars>
    <w:docVar w:name="commondata" w:val="eyJoZGlkIjoiM2U2OGFjNGRiYTRmNTA0MWE3MmIzZWFkNzcwMjNjZmQifQ=="/>
  </w:docVars>
  <m:mathPr>
    <m:mathFont m:val="Cambria Math"/>
    <m:smallFrac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semiHidden="0" w:uiPriority="0" w:unhideWhenUsed="0" w:qFormat="1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next w:val="TOC5"/>
    <w:qFormat/>
    <w:rPr>
      <w:rFonts w:ascii="Calibri" w:hAnsi="Calibri"/>
    </w:rPr>
  </w:style>
  <w:style w:type="paragraph" w:styleId="TOC5">
    <w:name w:val="toc 5"/>
    <w:basedOn w:val="Normal"/>
    <w:next w:val="Normal"/>
    <w:qFormat/>
    <w:pPr>
      <w:wordWrap w:val="0"/>
      <w:spacing w:after="200" w:line="276" w:lineRule="auto"/>
      <w:ind w:left="1275"/>
      <w:jc w:val="both"/>
    </w:pPr>
    <w:rPr>
      <w:rFonts w:ascii="宋体" w:eastAsia="Times New Roman" w:hAnsi="宋体" w:cs="Times New Roman"/>
      <w:lang w:val="en-US" w:eastAsia="zh-CN" w:bidi="ar-SA"/>
    </w:rPr>
  </w:style>
  <w:style w:type="paragraph" w:styleId="BalloonText">
    <w:name w:val="Balloon Text"/>
    <w:basedOn w:val="Normal"/>
    <w:link w:val="a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0">
    <w:name w:val="Normal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customStyle="1" w:styleId="a">
    <w:name w:val="页眉 字符"/>
    <w:basedOn w:val="DefaultParagraphFont"/>
    <w:link w:val="Header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character" w:customStyle="1" w:styleId="a1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wm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BFAD7A-1981-4A40-BA17-58189A2334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