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B8277">
      <w:pPr>
        <w:widowControl w:val="0"/>
        <w:spacing w:before="0" w:after="0" w:line="360" w:lineRule="auto"/>
        <w:jc w:val="center"/>
        <w:rPr>
          <w:sz w:val="32"/>
          <w:szCs w:val="32"/>
        </w:rPr>
      </w:pPr>
      <w:bookmarkStart w:id="0" w:name="_GoBack"/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11912600</wp:posOffset>
            </wp:positionV>
            <wp:extent cx="333375" cy="438150"/>
            <wp:effectExtent l="0" t="0" r="9525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年广东省普通高中学业水平选择性考试</w:t>
      </w:r>
    </w:p>
    <w:p w14:paraId="276CA1BF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历史</w:t>
      </w:r>
    </w:p>
    <w:p w14:paraId="2EE73F26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注意事项</w:t>
      </w:r>
      <w:r>
        <w:rPr>
          <w:b/>
          <w:bCs/>
        </w:rPr>
        <w:t>:</w:t>
      </w:r>
    </w:p>
    <w:p w14:paraId="5D5DC572"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宋体" w:hAnsi="宋体" w:eastAsia="宋体" w:cs="宋体"/>
          <w:b/>
          <w:bCs/>
        </w:rPr>
        <w:t>答卷前，考生务必用黑色字迹钢笔或答字笔将自己的姓名、考生号、考场号和座位号填写在答题卡上。用</w:t>
      </w:r>
      <w:r>
        <w:rPr>
          <w:b/>
          <w:bCs/>
        </w:rPr>
        <w:t>2B</w:t>
      </w:r>
      <w:r>
        <w:rPr>
          <w:rFonts w:ascii="宋体" w:hAnsi="宋体" w:eastAsia="宋体" w:cs="宋体"/>
          <w:b/>
          <w:bCs/>
        </w:rPr>
        <w:t>铅笔将试卷类型</w:t>
      </w:r>
      <w:r>
        <w:rPr>
          <w:b/>
          <w:bCs/>
        </w:rPr>
        <w:t>(A)</w:t>
      </w:r>
      <w:r>
        <w:rPr>
          <w:rFonts w:ascii="宋体" w:hAnsi="宋体" w:eastAsia="宋体" w:cs="宋体"/>
          <w:b/>
          <w:bCs/>
        </w:rPr>
        <w:t>填涂在答题卡相应位置上。将条形码横贴任答题卡右上角“条形码粘贴处”</w:t>
      </w:r>
    </w:p>
    <w:p w14:paraId="5B012DC0"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宋体" w:hAnsi="宋体" w:eastAsia="宋体" w:cs="宋体"/>
          <w:b/>
          <w:bCs/>
        </w:rPr>
        <w:t>作答选择题时，选出每小题答案后</w:t>
      </w:r>
      <w:r>
        <w:rPr>
          <w:b/>
          <w:bCs/>
        </w:rPr>
        <w:t>,</w:t>
      </w:r>
      <w:r>
        <w:rPr>
          <w:rFonts w:ascii="宋体" w:hAnsi="宋体" w:eastAsia="宋体" w:cs="宋体"/>
          <w:b/>
          <w:bCs/>
        </w:rPr>
        <w:t>用</w:t>
      </w:r>
      <w:r>
        <w:rPr>
          <w:b/>
          <w:bCs/>
        </w:rPr>
        <w:t>2B</w:t>
      </w:r>
      <w:r>
        <w:rPr>
          <w:rFonts w:ascii="宋体" w:hAnsi="宋体" w:eastAsia="宋体" w:cs="宋体"/>
          <w:b/>
          <w:bCs/>
        </w:rPr>
        <w:t>铅笔把答题卡上对应题目选项的答案信息点涂黑</w:t>
      </w:r>
      <w:r>
        <w:rPr>
          <w:b/>
          <w:bCs/>
        </w:rPr>
        <w:t>;</w:t>
      </w:r>
      <w:r>
        <w:rPr>
          <w:rFonts w:ascii="宋体" w:hAnsi="宋体" w:eastAsia="宋体" w:cs="宋体"/>
          <w:b/>
          <w:bCs/>
        </w:rPr>
        <w:t>如需改动，用橡皮擦干净后，再选涂其他答案，案不能在试卷上。</w:t>
      </w:r>
    </w:p>
    <w:p w14:paraId="5ACC688C"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宋体" w:hAnsi="宋体" w:eastAsia="宋体" w:cs="宋体"/>
          <w:b/>
          <w:bCs/>
        </w:rPr>
        <w:t>非选择题必须用黑色字迹钢笔或签字笔作答</w:t>
      </w:r>
      <w:r>
        <w:rPr>
          <w:b/>
          <w:bCs/>
        </w:rPr>
        <w:t>,</w:t>
      </w:r>
      <w:r>
        <w:rPr>
          <w:rFonts w:ascii="宋体" w:hAnsi="宋体" w:eastAsia="宋体" w:cs="宋体"/>
          <w:b/>
          <w:bCs/>
        </w:rPr>
        <w:t>答案必须写在答题卡各题目指定区域内相应位置上</w:t>
      </w:r>
      <w:r>
        <w:rPr>
          <w:b/>
          <w:bCs/>
        </w:rPr>
        <w:t>:</w:t>
      </w:r>
      <w:r>
        <w:rPr>
          <w:rFonts w:ascii="宋体" w:hAnsi="宋体" w:eastAsia="宋体" w:cs="宋体"/>
          <w:b/>
          <w:bCs/>
        </w:rPr>
        <w:t>如需改动，先划掉原来的答案，然后再写上新的答案</w:t>
      </w:r>
      <w:r>
        <w:rPr>
          <w:b/>
          <w:bCs/>
        </w:rPr>
        <w:t>:</w:t>
      </w:r>
      <w:r>
        <w:rPr>
          <w:rFonts w:ascii="宋体" w:hAnsi="宋体" w:eastAsia="宋体" w:cs="宋体"/>
          <w:b/>
          <w:bCs/>
        </w:rPr>
        <w:t>不准使用铅笔和涂改液。不按以上要求作答的答案无效。</w:t>
      </w:r>
    </w:p>
    <w:p w14:paraId="4646276C">
      <w:pPr>
        <w:widowControl w:val="0"/>
        <w:spacing w:before="0" w:after="0" w:line="360" w:lineRule="auto"/>
      </w:pPr>
      <w:r>
        <w:rPr>
          <w:b/>
          <w:bCs/>
        </w:rPr>
        <w:t>4.</w:t>
      </w:r>
      <w:r>
        <w:rPr>
          <w:rFonts w:ascii="宋体" w:hAnsi="宋体" w:eastAsia="宋体" w:cs="宋体"/>
          <w:b/>
          <w:bCs/>
        </w:rPr>
        <w:t>考生必须保持答题卡整洁。考试结束后，将试卷和答题卡一并交回。</w:t>
      </w:r>
    </w:p>
    <w:p w14:paraId="6ADF5841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16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48</w:t>
      </w:r>
      <w:r>
        <w:rPr>
          <w:rFonts w:ascii="宋体" w:hAnsi="宋体" w:eastAsia="宋体" w:cs="宋体"/>
          <w:b/>
          <w:bCs/>
        </w:rPr>
        <w:t>分。在每小题列出的四个选项中，只有一项是最符合题目要求的。</w:t>
      </w:r>
    </w:p>
    <w:p w14:paraId="5065B2F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据研究，古代礼制记载的春秋时期酒器礼器，分为爵、觚、觯、角、散五种，称为“五爵”，其名来自于商、周时期的青铜酒器礼器。实际上，春秋时期的五爵为漆木酒器，其容量依次为一至五升，“宗庙祭祀，贵者献以爵、贱者献以散”。春秋时期礼器的变化反映出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6E16F35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礼器形制趋同说明礼崩乐坏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宗庙祭祀遵循天人合一观念</w:t>
      </w:r>
    </w:p>
    <w:p w14:paraId="5183CA9C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漆木酒器彰显人文关怀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以小显贵维系封建等级秩序</w:t>
      </w:r>
    </w:p>
    <w:p w14:paraId="5B9316B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如表《魏书》记载的部分皇帝赏赐</w:t>
      </w:r>
    </w:p>
    <w:tbl>
      <w:tblPr>
        <w:tblStyle w:val="3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87"/>
        <w:gridCol w:w="3180"/>
      </w:tblGrid>
      <w:tr w14:paraId="6A7C6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26F22C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道武帝登国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年（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388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F69AC0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杂畜十余万……各有差</w:t>
            </w:r>
          </w:p>
        </w:tc>
      </w:tr>
      <w:tr w14:paraId="7D65FB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A09F2B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明元帝永兴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年（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413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A22DD4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赏征还将士牛马、奴婢各有差</w:t>
            </w:r>
          </w:p>
        </w:tc>
      </w:tr>
      <w:tr w14:paraId="550A9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BB75349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太武帝始光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年（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427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年）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A59A01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留文武生口、缯帛、马牛各有差</w:t>
            </w:r>
          </w:p>
        </w:tc>
      </w:tr>
    </w:tbl>
    <w:p w14:paraId="2840565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由此可知（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2F7F2617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北方游牧经济衰落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封建等级制度森严</w:t>
      </w:r>
    </w:p>
    <w:p w14:paraId="753FAF2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鲜卑民族习俗的延续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俸禄制改革不彻底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11" name="图片 100011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page number 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56ECF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B95FE1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两税法以田地、杂税等资产评定户等，但对杂税种类及其价值没有明确规定。唐文宗时，湖州刺史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190500"/>
            <wp:effectExtent l="0" t="0" r="9525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其所属五县，“自立条制，自田地、奴婢，及竹、树、鹅、鸭等并估计税钱，差军人一千一百五十人散入乡村，检责剩征税钱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千</w:t>
      </w:r>
      <w:r>
        <w:rPr>
          <w:sz w:val="21"/>
          <w:szCs w:val="21"/>
        </w:rPr>
        <w:t>9</w:t>
      </w:r>
      <w:r>
        <w:rPr>
          <w:rFonts w:ascii="宋体" w:hAnsi="宋体" w:eastAsia="宋体" w:cs="宋体"/>
          <w:sz w:val="21"/>
          <w:szCs w:val="21"/>
        </w:rPr>
        <w:t>百余贯”结果被朝廷以扰人罪名贬官，这说明两税法（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088BCD92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存在一定的制度缺陷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强化了对农民的人身控制</w:t>
      </w:r>
    </w:p>
    <w:p w14:paraId="4CA1A8B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赋予官员加征权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解决了政府的财政困难</w:t>
      </w:r>
    </w:p>
    <w:p w14:paraId="1341476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4. 1884</w:t>
      </w:r>
      <w:r>
        <w:rPr>
          <w:rFonts w:ascii="宋体" w:hAnsi="宋体" w:eastAsia="宋体" w:cs="宋体"/>
          <w:sz w:val="21"/>
          <w:szCs w:val="21"/>
        </w:rPr>
        <w:t>年中法《简明新约》规定，此约缮中法文各两分，各执一分为据，应按照公法通判，以法文为正。</w:t>
      </w:r>
      <w:r>
        <w:rPr>
          <w:sz w:val="21"/>
          <w:szCs w:val="21"/>
        </w:rPr>
        <w:t>1885</w:t>
      </w:r>
      <w:r>
        <w:rPr>
          <w:rFonts w:ascii="宋体" w:hAnsi="宋体" w:eastAsia="宋体" w:cs="宋体"/>
          <w:sz w:val="21"/>
          <w:szCs w:val="21"/>
        </w:rPr>
        <w:t>年续谈正式约章时，以法文文本为准的条款被慈禧太后“勾掉”，</w:t>
      </w:r>
      <w:r>
        <w:rPr>
          <w:sz w:val="21"/>
          <w:szCs w:val="21"/>
        </w:rPr>
        <w:t>1885</w:t>
      </w:r>
      <w:r>
        <w:rPr>
          <w:rFonts w:ascii="宋体" w:hAnsi="宋体" w:eastAsia="宋体" w:cs="宋体"/>
          <w:sz w:val="21"/>
          <w:szCs w:val="21"/>
        </w:rPr>
        <w:t>年签订的《越南条款》以法文为正不再出现，这表明清政府（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2B961A60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意图抵御西方强权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拒绝融入国际公法</w:t>
      </w:r>
    </w:p>
    <w:p w14:paraId="30D27319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有效遏制边疆危机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固守天朝上国观念</w:t>
      </w:r>
    </w:p>
    <w:p w14:paraId="01578BA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5. 1943</w:t>
      </w:r>
      <w:r>
        <w:rPr>
          <w:rFonts w:ascii="宋体" w:hAnsi="宋体" w:eastAsia="宋体" w:cs="宋体"/>
          <w:sz w:val="21"/>
          <w:szCs w:val="21"/>
        </w:rPr>
        <w:t>年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月，中国国民党以将介石的名义抛出《中国之命运》一书，公开提出共产主义和英美式的自由主义都不适合中国，“中国之命运，完全寄托于中国国民党”，这说明（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3D63C9A5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民族统一战线初现裂痕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中国的国际地位没有提高</w:t>
      </w:r>
    </w:p>
    <w:p w14:paraId="50121659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民族矛盾为主要矛盾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国民党试图独占抗战成果</w:t>
      </w:r>
    </w:p>
    <w:p w14:paraId="7D32C57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下表是</w:t>
      </w:r>
      <w:r>
        <w:rPr>
          <w:sz w:val="21"/>
          <w:szCs w:val="21"/>
        </w:rPr>
        <w:t>1952</w:t>
      </w:r>
      <w:r>
        <w:rPr>
          <w:rFonts w:ascii="宋体" w:hAnsi="宋体" w:eastAsia="宋体" w:cs="宋体"/>
          <w:sz w:val="21"/>
          <w:szCs w:val="21"/>
        </w:rPr>
        <w:t>年部分城市大型私营企业统购、统销、订货等类产品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产值比重</w:t>
      </w:r>
    </w:p>
    <w:tbl>
      <w:tblPr>
        <w:tblStyle w:val="3"/>
        <w:tblW w:w="3855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783"/>
        <w:gridCol w:w="625"/>
        <w:gridCol w:w="783"/>
        <w:gridCol w:w="625"/>
        <w:gridCol w:w="783"/>
      </w:tblGrid>
      <w:tr w14:paraId="0AA885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519D792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城市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9C6E50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上海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98B6AD4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天津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2FF63D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武汉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53991B6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西安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EB3F0A1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沈阳</w:t>
            </w:r>
          </w:p>
        </w:tc>
      </w:tr>
      <w:tr w14:paraId="763A3E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E8485F9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比值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AF7FEB9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59.5%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116292C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70%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ABF67EC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65.5%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DA4DEF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70%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39F4F87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59.9%</w:t>
            </w:r>
          </w:p>
        </w:tc>
      </w:tr>
    </w:tbl>
    <w:p w14:paraId="7185D67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由此可知（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458D1FC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公私合营企业占主要份额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私营资本主义经济显著增强</w:t>
      </w:r>
    </w:p>
    <w:p w14:paraId="752F7809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国家掌握私营产品的主要部分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单一的公有制结构已经形成</w:t>
      </w:r>
    </w:p>
    <w:p w14:paraId="14C22E1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自</w:t>
      </w:r>
      <w:r>
        <w:rPr>
          <w:sz w:val="21"/>
          <w:szCs w:val="21"/>
        </w:rPr>
        <w:t>20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80</w:t>
      </w:r>
      <w:r>
        <w:rPr>
          <w:rFonts w:ascii="宋体" w:hAnsi="宋体" w:eastAsia="宋体" w:cs="宋体"/>
          <w:sz w:val="21"/>
          <w:szCs w:val="21"/>
        </w:rPr>
        <w:t>年代起，我国的社会保障制度进入真正意义上的改革时代。原有的国家-单位保障制逐渐改为国家-社会保障制。社会保障制度进入改革时代的主要原因是（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2FC719FC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市场经济体制的确立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国有企业改革的不断推进</w:t>
      </w:r>
    </w:p>
    <w:p w14:paraId="05D45D58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医疗卫生体系的形成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乡镇企业的不断涌现</w:t>
      </w:r>
    </w:p>
    <w:p w14:paraId="44B5AAD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古代世界的波斯帝国、秦汉王朝、罗马帝国、印加帝国为加强统治，均实行君主专制，采取诸如颁布法律、改革币制、修建道路等措施。这反映出古代文明的发展具有（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65F129C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互鉴性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同源性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统一性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同步性</w:t>
      </w:r>
    </w:p>
    <w:p w14:paraId="24F2F62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9. 1794</w:t>
      </w:r>
      <w:r>
        <w:rPr>
          <w:rFonts w:ascii="宋体" w:hAnsi="宋体" w:eastAsia="宋体" w:cs="宋体"/>
          <w:sz w:val="21"/>
          <w:szCs w:val="21"/>
        </w:rPr>
        <w:t>年《人权宣言》在哥伦比亚首次被翻译和秘密印刷，在拉丁美洲的一些大城市，土生白人贵族和知识青年组织了大量秘密结社，“我不是西班牙人，我是美洲人”成为惯常口头语，“美洲人”的新观念开始形成。这反映出在拉丁美洲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29" name="图片 100029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page number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32C54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B561B5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国家认同促进社会变革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思想启蒙激发民族意识</w:t>
      </w:r>
    </w:p>
    <w:p w14:paraId="56038A59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独立运动摧毁殖民体系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革命理念得到广泛传播</w:t>
      </w:r>
    </w:p>
    <w:p w14:paraId="61A1087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10. 1942</w:t>
      </w:r>
      <w:r>
        <w:rPr>
          <w:rFonts w:ascii="宋体" w:hAnsi="宋体" w:eastAsia="宋体" w:cs="宋体"/>
          <w:sz w:val="21"/>
          <w:szCs w:val="21"/>
        </w:rPr>
        <w:t>年，尼赫鲁主张以革命手段进行抵抗，甘地放弃了不抵抗运动，同意以武力反抗作为主要手段。这说明（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66A8E65F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甘地的宗教信仰发生改变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国大党斗争的策略性</w:t>
      </w:r>
    </w:p>
    <w:p w14:paraId="7890941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民族独立解放运动的高涨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反法西斯同盟的建立</w:t>
      </w:r>
    </w:p>
    <w:p w14:paraId="0093FCCF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二、非选择题：第</w:t>
      </w:r>
      <w:r>
        <w:rPr>
          <w:b/>
          <w:bCs/>
        </w:rPr>
        <w:t>17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14</w:t>
      </w:r>
      <w:r>
        <w:rPr>
          <w:rFonts w:ascii="宋体" w:hAnsi="宋体" w:eastAsia="宋体" w:cs="宋体"/>
          <w:b/>
          <w:bCs/>
        </w:rPr>
        <w:t>分，</w:t>
      </w:r>
      <w:r>
        <w:rPr>
          <w:b/>
          <w:bCs/>
        </w:rPr>
        <w:t>18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14</w:t>
      </w:r>
      <w:r>
        <w:rPr>
          <w:rFonts w:ascii="宋体" w:hAnsi="宋体" w:eastAsia="宋体" w:cs="宋体"/>
          <w:b/>
          <w:bCs/>
        </w:rPr>
        <w:t>分，</w:t>
      </w:r>
      <w:r>
        <w:rPr>
          <w:b/>
          <w:bCs/>
        </w:rPr>
        <w:t>19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12</w:t>
      </w:r>
      <w:r>
        <w:rPr>
          <w:rFonts w:ascii="宋体" w:hAnsi="宋体" w:eastAsia="宋体" w:cs="宋体"/>
          <w:b/>
          <w:bCs/>
        </w:rPr>
        <w:t>分，</w:t>
      </w:r>
      <w:r>
        <w:rPr>
          <w:b/>
          <w:bCs/>
        </w:rPr>
        <w:t>20</w:t>
      </w:r>
      <w:r>
        <w:rPr>
          <w:rFonts w:ascii="宋体" w:hAnsi="宋体" w:eastAsia="宋体" w:cs="宋体"/>
          <w:b/>
          <w:bCs/>
        </w:rPr>
        <w:t>小题</w:t>
      </w:r>
      <w:r>
        <w:rPr>
          <w:b/>
          <w:bCs/>
        </w:rPr>
        <w:t>13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52</w:t>
      </w:r>
      <w:r>
        <w:rPr>
          <w:rFonts w:ascii="宋体" w:hAnsi="宋体" w:eastAsia="宋体" w:cs="宋体"/>
          <w:b/>
          <w:bCs/>
        </w:rPr>
        <w:t>分。</w:t>
      </w:r>
    </w:p>
    <w:p w14:paraId="470DCCB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乡里制度是古代中国的“治国之基”……阅读下列材料，回答问题。</w:t>
      </w:r>
    </w:p>
    <w:p w14:paraId="498F2910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材料一  大约抄写于秦灭六国前的秦简《法律问答》记载，里典（里正）、里老共同负责里中的户口，赋税和治安……典、老一般由乡里中年长无爵者担任。</w:t>
      </w:r>
    </w:p>
    <w:p w14:paraId="67ADD88C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——摘编自陈侃理《秦汉里吏与基层治理》</w:t>
      </w:r>
    </w:p>
    <w:p w14:paraId="253A7952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  ……县级以下的乡保是个关键人物……乡保一般按自己意愿行事，他们处于国家和社会的交汇处具有两面性。</w:t>
      </w:r>
    </w:p>
    <w:p w14:paraId="3986BFD8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——摘编自黄宗智《国家与社会二元合一》</w:t>
      </w:r>
    </w:p>
    <w:p w14:paraId="6A2AD485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材料三  ……历代乡里制度，无论怎样变化，都声称遵从《周礼》确立的乡里制度的基本原则。</w:t>
      </w:r>
    </w:p>
    <w:p w14:paraId="5460A4C6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——鲁西奇（中国古代乡里制度研究》</w:t>
      </w:r>
    </w:p>
    <w:p w14:paraId="5C67105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问题：</w:t>
      </w:r>
    </w:p>
    <w:p w14:paraId="41E7244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）指出材料一所体现的秦乡里制度的变化，并简析其原因。</w:t>
      </w:r>
    </w:p>
    <w:p w14:paraId="37B05AB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）分析材料二中乡保的“两面性”。</w:t>
      </w:r>
    </w:p>
    <w:p w14:paraId="15B5416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）综合上述材料，概括中国古代基层治理的特点。</w:t>
      </w:r>
    </w:p>
    <w:p w14:paraId="76DAB8B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阅读下列材料，回答问题。</w:t>
      </w:r>
    </w:p>
    <w:p w14:paraId="25A6447E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材料一  12世纪欧洲最有名的集市是香槟集市，它们是巴黎东面香槟地区的四个城市。商人用马车或驮畜拉来货物，在预订时间、地点相互交易。香槟伯爵在骚乱年代维持秩序，为商人和旅行者提供居所和保护。到12世纪中叶，香槟集市因贸易量而斐名整个大陆。14世纪，香槟集市成为法兰西国王属地，国王收取比贸易费用更高的费用，如棚的租赁费和销售税。随着欧洲贸易量的增长，集市城市里的运输和交易不能满足需求，香槟集市的重要性逐渐减弱。</w:t>
      </w:r>
    </w:p>
    <w:p w14:paraId="1C9E0C4F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——（英）诺尔曼·库兹《中世纪城市》</w:t>
      </w:r>
    </w:p>
    <w:p w14:paraId="17A41F99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  12世纪中期出现的汉萨同盟是一个松散的商业联盟，由波罗的海、北海沿海诸地独立城市和城镇组成。1370年，同盟获得丹麦、波罗的海等国的贸易垄断权，在北方所有商业中心建立贸易站。……同盟的影响力有所下降……巴黎等贸易站的特权被所在国收回。17世纪，中欧、北欧的战争成为对同盟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45" name="图片 100045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page number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DB1A1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86BECF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最后一击……</w:t>
      </w:r>
    </w:p>
    <w:p w14:paraId="59FAD4D6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——（美）布莱恩·蒂尔尼《西欧中世纪史》</w:t>
      </w:r>
    </w:p>
    <w:p w14:paraId="7A8A9A6C">
      <w:pPr>
        <w:widowControl w:val="0"/>
        <w:spacing w:before="0" w:after="0" w:line="360" w:lineRule="auto"/>
        <w:ind w:right="420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问题：</w:t>
      </w:r>
    </w:p>
    <w:p w14:paraId="66FBCA6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）根据材料一简析香槟集市的影响</w:t>
      </w:r>
    </w:p>
    <w:p w14:paraId="46B6E88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）根据材料二结合所学知识分析汉萨同盟衰落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原因</w:t>
      </w:r>
    </w:p>
    <w:p w14:paraId="03241A1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）综合上述内容，总结</w:t>
      </w:r>
      <w:r>
        <w:rPr>
          <w:sz w:val="21"/>
          <w:szCs w:val="21"/>
        </w:rPr>
        <w:t>12-17</w:t>
      </w:r>
      <w:r>
        <w:rPr>
          <w:rFonts w:ascii="宋体" w:hAnsi="宋体" w:eastAsia="宋体" w:cs="宋体"/>
          <w:sz w:val="21"/>
          <w:szCs w:val="21"/>
        </w:rPr>
        <w:t>世纪欧洲贸易发展的趋势。</w:t>
      </w:r>
    </w:p>
    <w:p w14:paraId="2D40288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阅读下列材料，回答问题。</w:t>
      </w:r>
    </w:p>
    <w:p w14:paraId="1B3AB260">
      <w:pPr>
        <w:widowControl w:val="0"/>
        <w:spacing w:before="0" w:after="0" w:line="360" w:lineRule="auto"/>
        <w:ind w:firstLine="420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  广东在反帝反封建道路上发挥举足轻重的作用，也在推动中国早期现代化道路上作出贡献……</w:t>
      </w:r>
    </w:p>
    <w:p w14:paraId="1B2D9FE3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——刘云波《近代岭南文化的三大核心精神》</w:t>
      </w:r>
    </w:p>
    <w:p w14:paraId="5E45975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请围绕“广东与近代中国”这一主题，自拟论题，结合中国近代史回答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76200"/>
            <wp:effectExtent l="0" t="0" r="0" b="0"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（要求：观点明确，逻辑通顺，史论结合）</w:t>
      </w:r>
    </w:p>
    <w:p w14:paraId="6F771170">
      <w:pPr>
        <w:widowControl w:val="0"/>
        <w:spacing w:before="0" w:after="0" w:line="360" w:lineRule="auto"/>
        <w:rPr>
          <w:sz w:val="21"/>
          <w:szCs w:val="21"/>
        </w:rPr>
      </w:pPr>
    </w:p>
    <w:p w14:paraId="5F1D9C8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63" name="图片 100063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page number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014FB"/>
    <w:p w14:paraId="44846D1D"/>
    <w:p w14:paraId="1C6E6386"/>
    <w:p w14:paraId="736682FA"/>
    <w:p w14:paraId="21C0DFD9"/>
    <w:p w14:paraId="2FE05FA3"/>
    <w:sectPr>
      <w:headerReference r:id="rId5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3B39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72E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E0C44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055" name="图片 10005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5" name="图片 10005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14806C2C"/>
    <w:rsid w:val="30672D70"/>
    <w:rsid w:val="34515068"/>
    <w:rsid w:val="4DD022B7"/>
    <w:rsid w:val="74FB1F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2593</Words>
  <Characters>2728</Characters>
  <Lines>1</Lines>
  <Paragraphs>1</Paragraphs>
  <TotalTime>0</TotalTime>
  <ScaleCrop>false</ScaleCrop>
  <LinksUpToDate>false</LinksUpToDate>
  <CharactersWithSpaces>2854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2024-06-17T05:39:00Z</dcterms:created>
  <dc:creator>Administrator</dc:creator>
  <cp:lastModifiedBy>Administrator</cp:lastModifiedBy>
  <dcterms:modified xsi:type="dcterms:W3CDTF">2024-06-21T03:32:04Z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9D4395C1AC564C68BA0BAB2B21E8B97F_12</vt:lpwstr>
  </property>
</Properties>
</file>