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6788383">
      <w:pPr>
        <w:spacing w:line="285" w:lineRule="auto"/>
        <w:jc w:val="center"/>
      </w:pPr>
      <w:bookmarkStart w:id="0" w:name="_GoBack"/>
      <w:bookmarkEnd w:id="0"/>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11010900</wp:posOffset>
            </wp:positionH>
            <wp:positionV relativeFrom="topMargin">
              <wp:posOffset>10464800</wp:posOffset>
            </wp:positionV>
            <wp:extent cx="330200" cy="431800"/>
            <wp:effectExtent l="0" t="0" r="12700" b="6350"/>
            <wp:wrapNone/>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4"/>
                    <a:stretch>
                      <a:fillRect/>
                    </a:stretch>
                  </pic:blipFill>
                  <pic:spPr>
                    <a:xfrm>
                      <a:off x="0" y="0"/>
                      <a:ext cx="330200" cy="431800"/>
                    </a:xfrm>
                    <a:prstGeom prst="rect">
                      <a:avLst/>
                    </a:prstGeom>
                  </pic:spPr>
                </pic:pic>
              </a:graphicData>
            </a:graphic>
          </wp:anchor>
        </w:drawing>
      </w:r>
      <w:r>
        <w:rPr>
          <w:rFonts w:ascii="宋体" w:hAnsi="宋体" w:eastAsia="宋体" w:cs="宋体"/>
          <w:b/>
          <w:color w:val="auto"/>
          <w:sz w:val="32"/>
        </w:rPr>
        <w:t>长郡中学</w:t>
      </w:r>
      <w:r>
        <w:rPr>
          <w:rFonts w:ascii="Times New Roman" w:hAnsi="Times New Roman" w:eastAsia="Times New Roman" w:cs="Times New Roman"/>
          <w:b/>
          <w:color w:val="auto"/>
          <w:sz w:val="32"/>
        </w:rPr>
        <w:t>2025</w:t>
      </w:r>
      <w:r>
        <w:rPr>
          <w:rFonts w:ascii="宋体" w:hAnsi="宋体" w:eastAsia="宋体" w:cs="宋体"/>
          <w:b/>
          <w:color w:val="auto"/>
          <w:sz w:val="32"/>
        </w:rPr>
        <w:t>届高三月考试卷（三）</w:t>
      </w:r>
    </w:p>
    <w:p w14:paraId="4651CF3A">
      <w:pPr>
        <w:spacing w:line="285" w:lineRule="auto"/>
        <w:jc w:val="center"/>
      </w:pPr>
      <w:r>
        <w:rPr>
          <w:rFonts w:ascii="宋体" w:hAnsi="宋体" w:eastAsia="宋体" w:cs="宋体"/>
          <w:b/>
          <w:color w:val="auto"/>
          <w:sz w:val="32"/>
        </w:rPr>
        <w:t>地理</w:t>
      </w:r>
    </w:p>
    <w:p w14:paraId="18B7D758">
      <w:pPr>
        <w:spacing w:line="285" w:lineRule="auto"/>
        <w:jc w:val="center"/>
      </w:pPr>
      <w:r>
        <w:rPr>
          <w:rFonts w:ascii="宋体" w:hAnsi="宋体" w:eastAsia="宋体" w:cs="宋体"/>
          <w:b/>
          <w:color w:val="auto"/>
          <w:sz w:val="24"/>
        </w:rPr>
        <w:t>本试题卷分选择题和非选择题两部分，共</w:t>
      </w:r>
      <w:r>
        <w:rPr>
          <w:rFonts w:ascii="Times New Roman" w:hAnsi="Times New Roman" w:eastAsia="Times New Roman" w:cs="Times New Roman"/>
          <w:b/>
          <w:color w:val="auto"/>
          <w:sz w:val="24"/>
        </w:rPr>
        <w:t>8</w:t>
      </w:r>
      <w:r>
        <w:rPr>
          <w:rFonts w:ascii="宋体" w:hAnsi="宋体" w:eastAsia="宋体" w:cs="宋体"/>
          <w:b/>
          <w:color w:val="auto"/>
          <w:sz w:val="24"/>
        </w:rPr>
        <w:t>页。时量</w:t>
      </w:r>
      <w:r>
        <w:rPr>
          <w:rFonts w:ascii="Times New Roman" w:hAnsi="Times New Roman" w:eastAsia="Times New Roman" w:cs="Times New Roman"/>
          <w:b/>
          <w:color w:val="auto"/>
          <w:sz w:val="24"/>
        </w:rPr>
        <w:t>75</w:t>
      </w:r>
      <w:r>
        <w:rPr>
          <w:rFonts w:ascii="宋体" w:hAnsi="宋体" w:eastAsia="宋体" w:cs="宋体"/>
          <w:b/>
          <w:color w:val="auto"/>
          <w:sz w:val="24"/>
        </w:rPr>
        <w:t>分钟，满分</w:t>
      </w:r>
      <w:r>
        <w:rPr>
          <w:rFonts w:ascii="Times New Roman" w:hAnsi="Times New Roman" w:eastAsia="Times New Roman" w:cs="Times New Roman"/>
          <w:b/>
          <w:color w:val="auto"/>
          <w:sz w:val="24"/>
        </w:rPr>
        <w:t>100</w:t>
      </w:r>
      <w:r>
        <w:rPr>
          <w:rFonts w:ascii="宋体" w:hAnsi="宋体" w:eastAsia="宋体" w:cs="宋体"/>
          <w:b/>
          <w:color w:val="auto"/>
          <w:sz w:val="24"/>
        </w:rPr>
        <w:t>分</w:t>
      </w:r>
    </w:p>
    <w:p w14:paraId="51A5ADA9">
      <w:pPr>
        <w:spacing w:line="285" w:lineRule="auto"/>
        <w:jc w:val="left"/>
      </w:pPr>
      <w:r>
        <w:rPr>
          <w:rFonts w:ascii="宋体" w:hAnsi="宋体" w:eastAsia="宋体" w:cs="宋体"/>
          <w:b/>
          <w:color w:val="auto"/>
          <w:sz w:val="24"/>
        </w:rPr>
        <w:t>一、选择题（本大题共</w:t>
      </w:r>
      <w:r>
        <w:rPr>
          <w:rFonts w:ascii="Times New Roman" w:hAnsi="Times New Roman" w:eastAsia="Times New Roman" w:cs="Times New Roman"/>
          <w:b/>
          <w:color w:val="auto"/>
          <w:sz w:val="24"/>
        </w:rPr>
        <w:t>16</w:t>
      </w:r>
      <w:r>
        <w:rPr>
          <w:rFonts w:ascii="宋体" w:hAnsi="宋体" w:eastAsia="宋体" w:cs="宋体"/>
          <w:b/>
          <w:color w:val="auto"/>
          <w:sz w:val="24"/>
        </w:rPr>
        <w:t>小题，每小题</w:t>
      </w:r>
      <w:r>
        <w:rPr>
          <w:rFonts w:ascii="Times New Roman" w:hAnsi="Times New Roman" w:eastAsia="Times New Roman" w:cs="Times New Roman"/>
          <w:b/>
          <w:color w:val="auto"/>
          <w:sz w:val="24"/>
        </w:rPr>
        <w:t>3</w:t>
      </w:r>
      <w:r>
        <w:rPr>
          <w:rFonts w:ascii="宋体" w:hAnsi="宋体" w:eastAsia="宋体" w:cs="宋体"/>
          <w:b/>
          <w:color w:val="auto"/>
          <w:sz w:val="24"/>
        </w:rPr>
        <w:t>分，共</w:t>
      </w:r>
      <w:r>
        <w:rPr>
          <w:rFonts w:ascii="Times New Roman" w:hAnsi="Times New Roman" w:eastAsia="Times New Roman" w:cs="Times New Roman"/>
          <w:b/>
          <w:color w:val="auto"/>
          <w:sz w:val="24"/>
        </w:rPr>
        <w:t>48</w:t>
      </w:r>
      <w:r>
        <w:rPr>
          <w:rFonts w:ascii="宋体" w:hAnsi="宋体" w:eastAsia="宋体" w:cs="宋体"/>
          <w:b/>
          <w:color w:val="auto"/>
          <w:sz w:val="24"/>
        </w:rPr>
        <w:t>分。在每小题给出的四个选项中，只有一项是符合题目要求的）</w:t>
      </w:r>
    </w:p>
    <w:p w14:paraId="3D9024C2">
      <w:pPr>
        <w:spacing w:line="360" w:lineRule="auto"/>
        <w:ind w:firstLine="420"/>
        <w:jc w:val="left"/>
      </w:pPr>
      <w:r>
        <w:rPr>
          <w:rFonts w:ascii="楷体" w:hAnsi="楷体" w:eastAsia="楷体" w:cs="楷体"/>
          <w:color w:val="auto"/>
        </w:rPr>
        <w:t>人口向城市中心集聚称之为向心化；人口向郊区扩散称之为离心化。城区人口密度的变化是人口向心化和离心化的主要标志。城市化起步时间、城市自身规模等都是影响向心化或离心化的因素。下图为</w:t>
      </w:r>
      <w:r>
        <w:rPr>
          <w:rFonts w:ascii="Times New Roman" w:hAnsi="Times New Roman" w:eastAsia="Times New Roman" w:cs="Times New Roman"/>
          <w:color w:val="auto"/>
        </w:rPr>
        <w:t>2000~2020</w:t>
      </w:r>
      <w:r>
        <w:rPr>
          <w:rFonts w:ascii="楷体" w:hAnsi="楷体" w:eastAsia="楷体" w:cs="楷体"/>
          <w:color w:val="auto"/>
        </w:rPr>
        <w:t>年中国各城市人口密度分布的演进趋势图。据此完成下面小题。</w:t>
      </w:r>
    </w:p>
    <w:p w14:paraId="60B552CD">
      <w:pPr>
        <w:spacing w:line="360" w:lineRule="auto"/>
        <w:jc w:val="left"/>
      </w:pPr>
      <w:r>
        <w:drawing>
          <wp:inline distT="0" distB="0" distL="114300" distR="114300">
            <wp:extent cx="3086100" cy="2333625"/>
            <wp:effectExtent l="0" t="0" r="0"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5"/>
                    <a:stretch>
                      <a:fillRect/>
                    </a:stretch>
                  </pic:blipFill>
                  <pic:spPr>
                    <a:xfrm>
                      <a:off x="0" y="0"/>
                      <a:ext cx="3086100" cy="2333625"/>
                    </a:xfrm>
                    <a:prstGeom prst="rect">
                      <a:avLst/>
                    </a:prstGeom>
                  </pic:spPr>
                </pic:pic>
              </a:graphicData>
            </a:graphic>
          </wp:inline>
        </w:drawing>
      </w:r>
    </w:p>
    <w:p w14:paraId="270D939F">
      <w:pPr>
        <w:spacing w:line="360" w:lineRule="auto"/>
        <w:jc w:val="left"/>
      </w:pPr>
      <w:r>
        <w:rPr>
          <w:color w:val="auto"/>
        </w:rPr>
        <w:t xml:space="preserve">1. </w:t>
      </w:r>
      <w:r>
        <w:rPr>
          <w:rFonts w:ascii="宋体" w:hAnsi="宋体" w:eastAsia="宋体" w:cs="宋体"/>
          <w:color w:val="auto"/>
        </w:rPr>
        <w:t>下列关于城市向心化或离心化的描述，正确的是（</w:t>
      </w:r>
      <w:r>
        <w:rPr>
          <w:rFonts w:ascii="Times New Roman" w:hAnsi="Times New Roman" w:eastAsia="Times New Roman" w:cs="Times New Roman"/>
          <w:color w:val="auto"/>
        </w:rPr>
        <w:t xml:space="preserve">   </w:t>
      </w:r>
      <w:r>
        <w:rPr>
          <w:rFonts w:ascii="宋体" w:hAnsi="宋体" w:eastAsia="宋体" w:cs="宋体"/>
          <w:color w:val="auto"/>
        </w:rPr>
        <w:t>）</w:t>
      </w:r>
    </w:p>
    <w:p w14:paraId="5AFFBDF1">
      <w:pPr>
        <w:tabs>
          <w:tab w:val="left" w:pos="4873"/>
        </w:tabs>
        <w:spacing w:line="360" w:lineRule="auto"/>
        <w:jc w:val="left"/>
        <w:textAlignment w:val="center"/>
        <w:rPr>
          <w:color w:val="auto"/>
        </w:rPr>
      </w:pPr>
      <w:r>
        <w:t xml:space="preserve">A. </w:t>
      </w:r>
      <w:r>
        <w:rPr>
          <w:rFonts w:ascii="宋体" w:hAnsi="宋体" w:eastAsia="宋体" w:cs="宋体"/>
          <w:color w:val="auto"/>
        </w:rPr>
        <w:t>人口增长率与人口离心化呈负相关</w:t>
      </w:r>
      <w:r>
        <w:tab/>
      </w:r>
      <w:r>
        <w:t xml:space="preserve">B. </w:t>
      </w:r>
      <w:r>
        <w:rPr>
          <w:rFonts w:ascii="宋体" w:hAnsi="宋体" w:eastAsia="宋体" w:cs="宋体"/>
          <w:color w:val="auto"/>
        </w:rPr>
        <w:t>城市常住人口规模扩张离心化上升</w:t>
      </w:r>
    </w:p>
    <w:p w14:paraId="1F13B40E">
      <w:pPr>
        <w:tabs>
          <w:tab w:val="left" w:pos="4873"/>
        </w:tabs>
        <w:spacing w:line="360" w:lineRule="auto"/>
        <w:jc w:val="left"/>
        <w:textAlignment w:val="center"/>
        <w:rPr>
          <w:color w:val="auto"/>
        </w:rPr>
      </w:pPr>
      <w:r>
        <w:t xml:space="preserve">C. </w:t>
      </w:r>
      <w:r>
        <w:rPr>
          <w:rFonts w:ascii="宋体" w:hAnsi="宋体" w:eastAsia="宋体" w:cs="宋体"/>
          <w:color w:val="auto"/>
        </w:rPr>
        <w:t>预测未来的大城市向心化趋势明显</w:t>
      </w:r>
      <w:r>
        <w:tab/>
      </w:r>
      <w:r>
        <w:t xml:space="preserve">D. </w:t>
      </w:r>
      <w:r>
        <w:rPr>
          <w:rFonts w:ascii="宋体" w:hAnsi="宋体" w:eastAsia="宋体" w:cs="宋体"/>
          <w:color w:val="auto"/>
        </w:rPr>
        <w:t>中心城区集聚优质资源加剧离心化</w:t>
      </w:r>
    </w:p>
    <w:p w14:paraId="7C9FF124">
      <w:pPr>
        <w:spacing w:line="360" w:lineRule="auto"/>
        <w:jc w:val="left"/>
      </w:pPr>
      <w:r>
        <w:rPr>
          <w:color w:val="auto"/>
        </w:rPr>
        <w:t xml:space="preserve">2. </w:t>
      </w:r>
      <w:r>
        <w:rPr>
          <w:rFonts w:ascii="宋体" w:hAnsi="宋体" w:eastAsia="宋体" w:cs="宋体"/>
          <w:color w:val="auto"/>
        </w:rPr>
        <w:t>就人口密度分布的演进趋势而言（</w:t>
      </w:r>
      <w:r>
        <w:rPr>
          <w:rFonts w:ascii="Times New Roman" w:hAnsi="Times New Roman" w:eastAsia="Times New Roman" w:cs="Times New Roman"/>
          <w:color w:val="auto"/>
        </w:rPr>
        <w:t xml:space="preserve">   </w:t>
      </w:r>
      <w:r>
        <w:rPr>
          <w:rFonts w:ascii="宋体" w:hAnsi="宋体" w:eastAsia="宋体" w:cs="宋体"/>
          <w:color w:val="auto"/>
        </w:rPr>
        <w:t>）</w:t>
      </w:r>
    </w:p>
    <w:p w14:paraId="51EFD97D">
      <w:pPr>
        <w:tabs>
          <w:tab w:val="left" w:pos="4873"/>
        </w:tabs>
        <w:spacing w:line="360" w:lineRule="auto"/>
        <w:jc w:val="left"/>
        <w:textAlignment w:val="center"/>
        <w:rPr>
          <w:color w:val="auto"/>
        </w:rPr>
      </w:pPr>
      <w:r>
        <w:t xml:space="preserve">A. </w:t>
      </w:r>
      <w:r>
        <w:rPr>
          <w:rFonts w:ascii="宋体" w:hAnsi="宋体" w:eastAsia="宋体" w:cs="宋体"/>
          <w:color w:val="auto"/>
        </w:rPr>
        <w:t>离心化趋势明显强于向心化</w:t>
      </w:r>
      <w:r>
        <w:tab/>
      </w:r>
      <w:r>
        <w:t xml:space="preserve">B. </w:t>
      </w:r>
      <w:r>
        <w:rPr>
          <w:rFonts w:ascii="宋体" w:hAnsi="宋体" w:eastAsia="宋体" w:cs="宋体"/>
          <w:color w:val="auto"/>
        </w:rPr>
        <w:t>离心化主要集中</w:t>
      </w:r>
      <w:r>
        <w:rPr>
          <w:rFonts w:ascii="宋体" w:hAnsi="宋体" w:eastAsia="宋体" w:cs="宋体"/>
          <w:color w:val="auto"/>
          <w:position w:val="-1"/>
        </w:rPr>
        <w:drawing>
          <wp:inline distT="0" distB="0" distL="114300" distR="114300">
            <wp:extent cx="139700" cy="190500"/>
            <wp:effectExtent l="0" t="0" r="12700"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6"/>
                    <a:stretch>
                      <a:fillRect/>
                    </a:stretch>
                  </pic:blipFill>
                  <pic:spPr>
                    <a:xfrm>
                      <a:off x="0" y="0"/>
                      <a:ext cx="139700" cy="190500"/>
                    </a:xfrm>
                    <a:prstGeom prst="rect">
                      <a:avLst/>
                    </a:prstGeom>
                  </pic:spPr>
                </pic:pic>
              </a:graphicData>
            </a:graphic>
          </wp:inline>
        </w:drawing>
      </w:r>
      <w:r>
        <w:rPr>
          <w:rFonts w:ascii="宋体" w:hAnsi="宋体" w:eastAsia="宋体" w:cs="宋体"/>
          <w:color w:val="auto"/>
        </w:rPr>
        <w:t>西部地区</w:t>
      </w:r>
    </w:p>
    <w:p w14:paraId="7B8C3ED7">
      <w:pPr>
        <w:tabs>
          <w:tab w:val="left" w:pos="4873"/>
        </w:tabs>
        <w:spacing w:line="360" w:lineRule="auto"/>
        <w:jc w:val="left"/>
        <w:textAlignment w:val="center"/>
        <w:rPr>
          <w:color w:val="auto"/>
        </w:rPr>
      </w:pPr>
      <w:r>
        <w:t>C</w:t>
      </w:r>
      <w:r>
        <w:rPr>
          <w:position w:val="-22"/>
        </w:rPr>
        <w:drawing>
          <wp:inline distT="0" distB="0" distL="114300" distR="114300">
            <wp:extent cx="31750" cy="88900"/>
            <wp:effectExtent l="0" t="0" r="0" b="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7"/>
                    <a:stretch>
                      <a:fillRect/>
                    </a:stretch>
                  </pic:blipFill>
                  <pic:spPr>
                    <a:xfrm>
                      <a:off x="0" y="0"/>
                      <a:ext cx="31750" cy="88900"/>
                    </a:xfrm>
                    <a:prstGeom prst="rect">
                      <a:avLst/>
                    </a:prstGeom>
                  </pic:spPr>
                </pic:pic>
              </a:graphicData>
            </a:graphic>
          </wp:inline>
        </w:drawing>
      </w:r>
      <w:r>
        <w:t xml:space="preserve"> </w:t>
      </w:r>
      <w:r>
        <w:rPr>
          <w:rFonts w:ascii="宋体" w:hAnsi="宋体" w:eastAsia="宋体" w:cs="宋体"/>
          <w:color w:val="auto"/>
        </w:rPr>
        <w:t>向心化主要分布沿海及北方</w:t>
      </w:r>
      <w:r>
        <w:tab/>
      </w:r>
      <w:r>
        <w:t xml:space="preserve">D. </w:t>
      </w:r>
      <w:r>
        <w:rPr>
          <w:rFonts w:ascii="宋体" w:hAnsi="宋体" w:eastAsia="宋体" w:cs="宋体"/>
          <w:color w:val="auto"/>
        </w:rPr>
        <w:t>东北因人口迁入向心化明显</w:t>
      </w:r>
    </w:p>
    <w:p w14:paraId="614DC8B0">
      <w:pPr>
        <w:spacing w:line="360" w:lineRule="auto"/>
        <w:jc w:val="left"/>
      </w:pPr>
      <w:r>
        <w:rPr>
          <w:color w:val="auto"/>
        </w:rPr>
        <w:t xml:space="preserve">3. </w:t>
      </w:r>
      <w:r>
        <w:rPr>
          <w:rFonts w:ascii="宋体" w:hAnsi="宋体" w:eastAsia="宋体" w:cs="宋体"/>
          <w:color w:val="auto"/>
        </w:rPr>
        <w:t>下侧向心化演进模式图中空白方框应填内容为（</w:t>
      </w:r>
      <w:r>
        <w:rPr>
          <w:rFonts w:ascii="Times New Roman" w:hAnsi="Times New Roman" w:eastAsia="Times New Roman" w:cs="Times New Roman"/>
          <w:color w:val="auto"/>
        </w:rPr>
        <w:t xml:space="preserve">   </w:t>
      </w:r>
      <w:r>
        <w:rPr>
          <w:rFonts w:ascii="宋体" w:hAnsi="宋体" w:eastAsia="宋体" w:cs="宋体"/>
          <w:color w:val="auto"/>
        </w:rPr>
        <w:t>）</w:t>
      </w:r>
    </w:p>
    <w:p w14:paraId="5559F07B">
      <w:pPr>
        <w:spacing w:line="360" w:lineRule="auto"/>
        <w:jc w:val="left"/>
      </w:pPr>
      <w:r>
        <w:drawing>
          <wp:inline distT="0" distB="0" distL="114300" distR="114300">
            <wp:extent cx="1924050" cy="962025"/>
            <wp:effectExtent l="0" t="0" r="0"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1924050" cy="962025"/>
                    </a:xfrm>
                    <a:prstGeom prst="rect">
                      <a:avLst/>
                    </a:prstGeom>
                  </pic:spPr>
                </pic:pic>
              </a:graphicData>
            </a:graphic>
          </wp:inline>
        </w:drawing>
      </w:r>
    </w:p>
    <w:p w14:paraId="7D2206D1">
      <w:pPr>
        <w:tabs>
          <w:tab w:val="left" w:pos="2436"/>
          <w:tab w:val="left" w:pos="4873"/>
          <w:tab w:val="left" w:pos="7309"/>
        </w:tabs>
        <w:spacing w:line="360" w:lineRule="auto"/>
        <w:jc w:val="left"/>
        <w:textAlignment w:val="center"/>
        <w:rPr>
          <w:color w:val="000000"/>
        </w:rPr>
      </w:pPr>
      <w:r>
        <w:t xml:space="preserve">A. </w:t>
      </w:r>
      <w:r>
        <w:rPr>
          <w:rFonts w:ascii="宋体" w:hAnsi="宋体" w:eastAsia="宋体" w:cs="宋体"/>
          <w:color w:val="auto"/>
        </w:rPr>
        <w:t>对外道路建设</w:t>
      </w:r>
      <w:r>
        <w:tab/>
      </w:r>
      <w:r>
        <w:t xml:space="preserve">B. </w:t>
      </w:r>
      <w:r>
        <w:rPr>
          <w:rFonts w:ascii="宋体" w:hAnsi="宋体" w:eastAsia="宋体" w:cs="宋体"/>
          <w:color w:val="auto"/>
        </w:rPr>
        <w:t>公共交通投入</w:t>
      </w:r>
      <w:r>
        <w:tab/>
      </w:r>
      <w:r>
        <w:t xml:space="preserve">C. </w:t>
      </w:r>
      <w:r>
        <w:rPr>
          <w:rFonts w:ascii="宋体" w:hAnsi="宋体" w:eastAsia="宋体" w:cs="宋体"/>
          <w:color w:val="auto"/>
        </w:rPr>
        <w:t>居民收入</w:t>
      </w:r>
      <w:r>
        <w:tab/>
      </w:r>
      <w:r>
        <w:t xml:space="preserve">D. </w:t>
      </w:r>
      <w:r>
        <w:rPr>
          <w:rFonts w:ascii="宋体" w:hAnsi="宋体" w:eastAsia="宋体" w:cs="宋体"/>
          <w:color w:val="auto"/>
        </w:rPr>
        <w:t>住宅面积</w:t>
      </w:r>
    </w:p>
    <w:p w14:paraId="720A2D7D">
      <w:pPr>
        <w:spacing w:line="360" w:lineRule="auto"/>
        <w:ind w:firstLine="420"/>
        <w:jc w:val="left"/>
        <w:textAlignment w:val="center"/>
        <w:rPr>
          <w:color w:val="000000"/>
        </w:rPr>
      </w:pPr>
      <w:r>
        <w:rPr>
          <w:rFonts w:ascii="楷体" w:hAnsi="楷体" w:eastAsia="楷体" w:cs="楷体"/>
          <w:color w:val="000000"/>
        </w:rPr>
        <w:t>都市圈接合区是指在都市圈发展过程中，不同城市的行政区域交界地带或相邻区域。都市圈接合区易受行政区划边界效应影响，早期发展受到制约，后期逐渐协同。对我国某都市圈接合区土地利用类型的研究表明：早期，行政区划边界效应抑制了耕地流失；后期，随着边界效应减轻，耕地流失加快。下表示意该都市圈接合区不同时期耕地流失状况（单位：</w:t>
      </w:r>
      <w:r>
        <w:rPr>
          <w:rFonts w:ascii="Times New Roman" w:hAnsi="Times New Roman" w:eastAsia="Times New Roman" w:cs="Times New Roman"/>
          <w:color w:val="000000"/>
        </w:rPr>
        <w:t>km2</w:t>
      </w:r>
      <w:r>
        <w:rPr>
          <w:rFonts w:ascii="楷体" w:hAnsi="楷体" w:eastAsia="楷体" w:cs="楷体"/>
          <w:color w:val="000000"/>
        </w:rPr>
        <w:t>）。完成下面小题。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253"/>
        <w:gridCol w:w="1290"/>
        <w:gridCol w:w="1290"/>
        <w:gridCol w:w="1290"/>
        <w:gridCol w:w="1710"/>
        <w:gridCol w:w="1500"/>
      </w:tblGrid>
      <w:tr w14:paraId="3029BB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2FCE24">
            <w:pPr>
              <w:spacing w:line="360" w:lineRule="auto"/>
              <w:jc w:val="left"/>
              <w:textAlignment w:val="center"/>
              <w:rPr>
                <w:color w:val="000000"/>
              </w:rPr>
            </w:pPr>
            <w:r>
              <w:rPr>
                <w:rFonts w:ascii="楷体" w:hAnsi="楷体" w:eastAsia="楷体" w:cs="楷体"/>
                <w:color w:val="000000"/>
              </w:rPr>
              <w:t>时期</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3303CED">
            <w:pPr>
              <w:spacing w:line="360" w:lineRule="auto"/>
              <w:jc w:val="left"/>
              <w:textAlignment w:val="center"/>
              <w:rPr>
                <w:color w:val="000000"/>
              </w:rPr>
            </w:pPr>
            <w:r>
              <w:rPr>
                <w:rFonts w:ascii="楷体" w:hAnsi="楷体" w:eastAsia="楷体" w:cs="楷体"/>
                <w:color w:val="000000"/>
              </w:rPr>
              <w:t>耕地转森林</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164C93">
            <w:pPr>
              <w:spacing w:line="360" w:lineRule="auto"/>
              <w:jc w:val="left"/>
              <w:textAlignment w:val="center"/>
              <w:rPr>
                <w:color w:val="000000"/>
              </w:rPr>
            </w:pPr>
            <w:r>
              <w:rPr>
                <w:rFonts w:ascii="楷体" w:hAnsi="楷体" w:eastAsia="楷体" w:cs="楷体"/>
                <w:color w:val="000000"/>
              </w:rPr>
              <w:t>耕地转草地</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9045ED1">
            <w:pPr>
              <w:spacing w:line="360" w:lineRule="auto"/>
              <w:jc w:val="left"/>
              <w:textAlignment w:val="center"/>
              <w:rPr>
                <w:color w:val="000000"/>
              </w:rPr>
            </w:pPr>
            <w:r>
              <w:rPr>
                <w:rFonts w:ascii="楷体" w:hAnsi="楷体" w:eastAsia="楷体" w:cs="楷体"/>
                <w:color w:val="000000"/>
              </w:rPr>
              <w:t>耕地转水体</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E97E07">
            <w:pPr>
              <w:spacing w:line="360" w:lineRule="auto"/>
              <w:jc w:val="left"/>
              <w:textAlignment w:val="center"/>
              <w:rPr>
                <w:color w:val="000000"/>
              </w:rPr>
            </w:pPr>
            <w:r>
              <w:rPr>
                <w:rFonts w:ascii="楷体" w:hAnsi="楷体" w:eastAsia="楷体" w:cs="楷体"/>
                <w:color w:val="000000"/>
              </w:rPr>
              <w:t>耕地转建设用地</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A82569F">
            <w:pPr>
              <w:spacing w:line="360" w:lineRule="auto"/>
              <w:jc w:val="left"/>
              <w:textAlignment w:val="center"/>
              <w:rPr>
                <w:color w:val="000000"/>
              </w:rPr>
            </w:pPr>
            <w:r>
              <w:rPr>
                <w:rFonts w:ascii="楷体" w:hAnsi="楷体" w:eastAsia="楷体" w:cs="楷体"/>
                <w:color w:val="000000"/>
              </w:rPr>
              <w:t>耕地转出总量</w:t>
            </w:r>
          </w:p>
        </w:tc>
      </w:tr>
      <w:tr w14:paraId="381B5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8895E50">
            <w:pPr>
              <w:spacing w:line="360" w:lineRule="auto"/>
              <w:jc w:val="left"/>
              <w:textAlignment w:val="center"/>
              <w:rPr>
                <w:color w:val="000000"/>
              </w:rPr>
            </w:pPr>
            <w:r>
              <w:rPr>
                <w:rFonts w:ascii="楷体" w:hAnsi="楷体" w:eastAsia="楷体" w:cs="楷体"/>
                <w:color w:val="000000"/>
              </w:rPr>
              <w:t>早期（</w:t>
            </w:r>
            <w:r>
              <w:rPr>
                <w:rFonts w:ascii="Times New Roman" w:hAnsi="Times New Roman" w:eastAsia="Times New Roman" w:cs="Times New Roman"/>
                <w:color w:val="000000"/>
              </w:rPr>
              <w:t>2000-2010</w:t>
            </w:r>
            <w:r>
              <w:rPr>
                <w:rFonts w:ascii="楷体" w:hAnsi="楷体" w:eastAsia="楷体" w:cs="楷体"/>
                <w:color w:val="000000"/>
              </w:rPr>
              <w:t>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7B9B7D8">
            <w:pPr>
              <w:spacing w:line="360" w:lineRule="auto"/>
              <w:jc w:val="left"/>
              <w:textAlignment w:val="center"/>
              <w:rPr>
                <w:color w:val="000000"/>
              </w:rPr>
            </w:pPr>
            <w:r>
              <w:rPr>
                <w:rFonts w:ascii="Times New Roman" w:hAnsi="Times New Roman" w:eastAsia="Times New Roman" w:cs="Times New Roman"/>
                <w:color w:val="000000"/>
              </w:rPr>
              <w:t>287.73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7387078">
            <w:pPr>
              <w:spacing w:line="360" w:lineRule="auto"/>
              <w:jc w:val="left"/>
              <w:textAlignment w:val="center"/>
              <w:rPr>
                <w:color w:val="000000"/>
              </w:rPr>
            </w:pPr>
            <w:r>
              <w:rPr>
                <w:rFonts w:ascii="Times New Roman" w:hAnsi="Times New Roman" w:eastAsia="Times New Roman" w:cs="Times New Roman"/>
                <w:color w:val="000000"/>
              </w:rPr>
              <w:t>55.86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02E5710">
            <w:pPr>
              <w:spacing w:line="360" w:lineRule="auto"/>
              <w:jc w:val="left"/>
              <w:textAlignment w:val="center"/>
              <w:rPr>
                <w:color w:val="000000"/>
              </w:rPr>
            </w:pPr>
            <w:r>
              <w:rPr>
                <w:rFonts w:ascii="Times New Roman" w:hAnsi="Times New Roman" w:eastAsia="Times New Roman" w:cs="Times New Roman"/>
                <w:color w:val="000000"/>
              </w:rPr>
              <w:t>70.28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CBDA6EF">
            <w:pPr>
              <w:spacing w:line="360" w:lineRule="auto"/>
              <w:jc w:val="left"/>
              <w:textAlignment w:val="center"/>
              <w:rPr>
                <w:color w:val="000000"/>
              </w:rPr>
            </w:pPr>
            <w:r>
              <w:rPr>
                <w:rFonts w:ascii="Times New Roman" w:hAnsi="Times New Roman" w:eastAsia="Times New Roman" w:cs="Times New Roman"/>
                <w:color w:val="000000"/>
              </w:rPr>
              <w:t>111.19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5124236">
            <w:pPr>
              <w:spacing w:line="360" w:lineRule="auto"/>
              <w:jc w:val="left"/>
              <w:textAlignment w:val="center"/>
              <w:rPr>
                <w:color w:val="000000"/>
              </w:rPr>
            </w:pPr>
            <w:r>
              <w:rPr>
                <w:rFonts w:ascii="Times New Roman" w:hAnsi="Times New Roman" w:eastAsia="Times New Roman" w:cs="Times New Roman"/>
                <w:color w:val="000000"/>
              </w:rPr>
              <w:t>525.06</w:t>
            </w:r>
          </w:p>
        </w:tc>
      </w:tr>
      <w:tr w14:paraId="19CE5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D4B3228">
            <w:pPr>
              <w:spacing w:line="360" w:lineRule="auto"/>
              <w:jc w:val="left"/>
              <w:textAlignment w:val="center"/>
              <w:rPr>
                <w:color w:val="000000"/>
              </w:rPr>
            </w:pPr>
            <w:r>
              <w:rPr>
                <w:rFonts w:ascii="楷体" w:hAnsi="楷体" w:eastAsia="楷体" w:cs="楷体"/>
                <w:color w:val="000000"/>
              </w:rPr>
              <w:t>后期（</w:t>
            </w:r>
            <w:r>
              <w:rPr>
                <w:rFonts w:ascii="Times New Roman" w:hAnsi="Times New Roman" w:eastAsia="Times New Roman" w:cs="Times New Roman"/>
                <w:color w:val="000000"/>
              </w:rPr>
              <w:t>2010-2020</w:t>
            </w:r>
            <w:r>
              <w:rPr>
                <w:rFonts w:ascii="楷体" w:hAnsi="楷体" w:eastAsia="楷体" w:cs="楷体"/>
                <w:color w:val="000000"/>
              </w:rPr>
              <w:t>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75C84D0">
            <w:pPr>
              <w:spacing w:line="360" w:lineRule="auto"/>
              <w:jc w:val="left"/>
              <w:textAlignment w:val="center"/>
              <w:rPr>
                <w:color w:val="000000"/>
              </w:rPr>
            </w:pPr>
            <w:r>
              <w:rPr>
                <w:rFonts w:ascii="Times New Roman" w:hAnsi="Times New Roman" w:eastAsia="Times New Roman" w:cs="Times New Roman"/>
                <w:color w:val="000000"/>
              </w:rPr>
              <w:t>130.02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E70AFDB">
            <w:pPr>
              <w:spacing w:line="360" w:lineRule="auto"/>
              <w:jc w:val="left"/>
              <w:textAlignment w:val="center"/>
              <w:rPr>
                <w:color w:val="000000"/>
              </w:rPr>
            </w:pPr>
            <w:r>
              <w:rPr>
                <w:rFonts w:ascii="Times New Roman" w:hAnsi="Times New Roman" w:eastAsia="Times New Roman" w:cs="Times New Roman"/>
                <w:color w:val="000000"/>
              </w:rPr>
              <w:t>57.90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078865B">
            <w:pPr>
              <w:spacing w:line="360" w:lineRule="auto"/>
              <w:jc w:val="left"/>
              <w:textAlignment w:val="center"/>
              <w:rPr>
                <w:color w:val="000000"/>
              </w:rPr>
            </w:pPr>
            <w:r>
              <w:rPr>
                <w:rFonts w:ascii="Times New Roman" w:hAnsi="Times New Roman" w:eastAsia="Times New Roman" w:cs="Times New Roman"/>
                <w:color w:val="000000"/>
              </w:rPr>
              <w:t>112.09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E93CF2F">
            <w:pPr>
              <w:spacing w:line="360" w:lineRule="auto"/>
              <w:jc w:val="left"/>
              <w:textAlignment w:val="center"/>
              <w:rPr>
                <w:color w:val="000000"/>
              </w:rPr>
            </w:pPr>
            <w:r>
              <w:rPr>
                <w:rFonts w:ascii="Times New Roman" w:hAnsi="Times New Roman" w:eastAsia="Times New Roman" w:cs="Times New Roman"/>
                <w:color w:val="000000"/>
              </w:rPr>
              <w:t>763.58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6D9C432">
            <w:pPr>
              <w:spacing w:line="360" w:lineRule="auto"/>
              <w:jc w:val="left"/>
              <w:textAlignment w:val="center"/>
              <w:rPr>
                <w:color w:val="000000"/>
              </w:rPr>
            </w:pPr>
            <w:r>
              <w:rPr>
                <w:rFonts w:ascii="Times New Roman" w:hAnsi="Times New Roman" w:eastAsia="Times New Roman" w:cs="Times New Roman"/>
                <w:color w:val="000000"/>
              </w:rPr>
              <w:t>1063</w:t>
            </w:r>
            <w:r>
              <w:rPr>
                <w:rFonts w:ascii="Times New Roman" w:hAnsi="Times New Roman" w:eastAsia="Times New Roman" w:cs="Times New Roman"/>
                <w:color w:val="000000"/>
                <w:position w:val="-22"/>
              </w:rPr>
              <w:drawing>
                <wp:inline distT="0" distB="0" distL="114300" distR="114300">
                  <wp:extent cx="31750" cy="88900"/>
                  <wp:effectExtent l="0" t="0" r="0" b="0"/>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7"/>
                          <a:stretch>
                            <a:fillRect/>
                          </a:stretch>
                        </pic:blipFill>
                        <pic:spPr>
                          <a:xfrm>
                            <a:off x="0" y="0"/>
                            <a:ext cx="31750" cy="88900"/>
                          </a:xfrm>
                          <a:prstGeom prst="rect">
                            <a:avLst/>
                          </a:prstGeom>
                        </pic:spPr>
                      </pic:pic>
                    </a:graphicData>
                  </a:graphic>
                </wp:inline>
              </w:drawing>
            </w:r>
            <w:r>
              <w:rPr>
                <w:rFonts w:ascii="Times New Roman" w:hAnsi="Times New Roman" w:eastAsia="Times New Roman" w:cs="Times New Roman"/>
                <w:color w:val="000000"/>
              </w:rPr>
              <w:t>59</w:t>
            </w:r>
          </w:p>
        </w:tc>
      </w:tr>
    </w:tbl>
    <w:p w14:paraId="1F057A84">
      <w:pPr>
        <w:spacing w:line="360" w:lineRule="auto"/>
        <w:jc w:val="left"/>
        <w:textAlignment w:val="center"/>
        <w:rPr>
          <w:color w:val="000000"/>
        </w:rPr>
      </w:pPr>
    </w:p>
    <w:p w14:paraId="2753EDBB">
      <w:pPr>
        <w:spacing w:line="360" w:lineRule="auto"/>
        <w:jc w:val="left"/>
        <w:textAlignment w:val="center"/>
        <w:rPr>
          <w:color w:val="000000"/>
        </w:rPr>
      </w:pPr>
      <w:r>
        <w:rPr>
          <w:color w:val="000000"/>
        </w:rPr>
        <w:t xml:space="preserve">4. </w:t>
      </w:r>
      <w:r>
        <w:rPr>
          <w:rFonts w:ascii="宋体" w:hAnsi="宋体" w:eastAsia="宋体" w:cs="宋体"/>
          <w:color w:val="000000"/>
        </w:rPr>
        <w:t>早期，该都市圈接合区行政区划边界效应抑制了耕地流失，主要因为边界地区（</w:t>
      </w:r>
      <w:r>
        <w:rPr>
          <w:rFonts w:ascii="Times New Roman" w:hAnsi="Times New Roman" w:eastAsia="Times New Roman" w:cs="Times New Roman"/>
          <w:color w:val="000000"/>
        </w:rPr>
        <w:t xml:space="preserve">   </w:t>
      </w:r>
      <w:r>
        <w:rPr>
          <w:rFonts w:ascii="宋体" w:hAnsi="宋体" w:eastAsia="宋体" w:cs="宋体"/>
          <w:color w:val="000000"/>
        </w:rPr>
        <w:t>）</w:t>
      </w:r>
    </w:p>
    <w:p w14:paraId="4ACD2466">
      <w:pPr>
        <w:spacing w:line="360" w:lineRule="auto"/>
        <w:jc w:val="left"/>
        <w:textAlignment w:val="center"/>
        <w:rPr>
          <w:color w:val="000000"/>
        </w:rPr>
      </w:pPr>
      <w:r>
        <w:rPr>
          <w:rFonts w:ascii="宋体" w:hAnsi="宋体" w:eastAsia="宋体" w:cs="宋体"/>
          <w:color w:val="000000"/>
        </w:rPr>
        <w:t>①土地利用价值较低②技术落后③人口较少④交通不便</w:t>
      </w:r>
    </w:p>
    <w:p w14:paraId="462EA414">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①④</w:t>
      </w:r>
      <w:r>
        <w:rPr>
          <w:color w:val="000000"/>
        </w:rPr>
        <w:tab/>
      </w:r>
      <w:r>
        <w:rPr>
          <w:color w:val="000000"/>
        </w:rPr>
        <w:t xml:space="preserve">C. </w:t>
      </w:r>
      <w:r>
        <w:rPr>
          <w:rFonts w:ascii="宋体" w:hAnsi="宋体" w:eastAsia="宋体" w:cs="宋体"/>
          <w:color w:val="000000"/>
        </w:rPr>
        <w:t>②③</w:t>
      </w:r>
      <w:r>
        <w:rPr>
          <w:color w:val="000000"/>
        </w:rPr>
        <w:tab/>
      </w:r>
      <w:r>
        <w:rPr>
          <w:color w:val="000000"/>
        </w:rPr>
        <w:t xml:space="preserve">D. </w:t>
      </w:r>
      <w:r>
        <w:rPr>
          <w:rFonts w:ascii="宋体" w:hAnsi="宋体" w:eastAsia="宋体" w:cs="宋体"/>
          <w:color w:val="000000"/>
        </w:rPr>
        <w:t>③④</w:t>
      </w:r>
    </w:p>
    <w:p w14:paraId="4E61C220">
      <w:pPr>
        <w:spacing w:line="360" w:lineRule="auto"/>
        <w:jc w:val="left"/>
        <w:textAlignment w:val="center"/>
        <w:rPr>
          <w:color w:val="000000"/>
        </w:rPr>
      </w:pPr>
      <w:r>
        <w:rPr>
          <w:color w:val="000000"/>
        </w:rPr>
        <w:t xml:space="preserve">5. </w:t>
      </w:r>
      <w:r>
        <w:rPr>
          <w:rFonts w:ascii="宋体" w:hAnsi="宋体" w:eastAsia="宋体" w:cs="宋体"/>
          <w:color w:val="000000"/>
        </w:rPr>
        <w:t>后期，该都市圈接合区行政区划边界效应减轻，耕地流失加快，伴随着（</w:t>
      </w:r>
      <w:r>
        <w:rPr>
          <w:rFonts w:ascii="Times New Roman" w:hAnsi="Times New Roman" w:eastAsia="Times New Roman" w:cs="Times New Roman"/>
          <w:color w:val="000000"/>
        </w:rPr>
        <w:t xml:space="preserve">   </w:t>
      </w:r>
      <w:r>
        <w:rPr>
          <w:rFonts w:ascii="宋体" w:hAnsi="宋体" w:eastAsia="宋体" w:cs="宋体"/>
          <w:color w:val="000000"/>
        </w:rPr>
        <w:t>）</w:t>
      </w:r>
    </w:p>
    <w:p w14:paraId="0908E8D4">
      <w:pPr>
        <w:spacing w:line="360" w:lineRule="auto"/>
        <w:jc w:val="left"/>
        <w:textAlignment w:val="center"/>
        <w:rPr>
          <w:color w:val="000000"/>
        </w:rPr>
      </w:pPr>
      <w:r>
        <w:rPr>
          <w:rFonts w:ascii="宋体" w:hAnsi="宋体" w:eastAsia="宋体" w:cs="宋体"/>
          <w:color w:val="000000"/>
        </w:rPr>
        <w:t>①迁出人口大量增加②聚落行政等级提升</w:t>
      </w:r>
    </w:p>
    <w:p w14:paraId="29982A9F">
      <w:pPr>
        <w:spacing w:line="360" w:lineRule="auto"/>
        <w:jc w:val="left"/>
        <w:textAlignment w:val="center"/>
        <w:rPr>
          <w:color w:val="000000"/>
        </w:rPr>
      </w:pPr>
      <w:r>
        <w:rPr>
          <w:rFonts w:ascii="宋体" w:hAnsi="宋体" w:eastAsia="宋体" w:cs="宋体"/>
          <w:color w:val="000000"/>
        </w:rPr>
        <w:t>③农业从业人员平均年龄上升④乡镇中小型工业企业发展</w:t>
      </w:r>
    </w:p>
    <w:p w14:paraId="29EC8BE5">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①④</w:t>
      </w:r>
      <w:r>
        <w:rPr>
          <w:color w:val="000000"/>
        </w:rPr>
        <w:tab/>
      </w:r>
      <w:r>
        <w:rPr>
          <w:color w:val="000000"/>
        </w:rPr>
        <w:t xml:space="preserve">C. </w:t>
      </w:r>
      <w:r>
        <w:rPr>
          <w:rFonts w:ascii="宋体" w:hAnsi="宋体" w:eastAsia="宋体" w:cs="宋体"/>
          <w:color w:val="000000"/>
        </w:rPr>
        <w:t>②③</w:t>
      </w:r>
      <w:r>
        <w:rPr>
          <w:color w:val="000000"/>
        </w:rPr>
        <w:tab/>
      </w:r>
      <w:r>
        <w:rPr>
          <w:color w:val="000000"/>
        </w:rPr>
        <w:t xml:space="preserve">D. </w:t>
      </w:r>
      <w:r>
        <w:rPr>
          <w:rFonts w:ascii="宋体" w:hAnsi="宋体" w:eastAsia="宋体" w:cs="宋体"/>
          <w:color w:val="000000"/>
        </w:rPr>
        <w:t>③④</w:t>
      </w:r>
    </w:p>
    <w:p w14:paraId="77BA14A9">
      <w:pPr>
        <w:spacing w:line="360" w:lineRule="auto"/>
        <w:jc w:val="left"/>
        <w:textAlignment w:val="center"/>
        <w:rPr>
          <w:color w:val="000000"/>
        </w:rPr>
      </w:pPr>
      <w:r>
        <w:rPr>
          <w:color w:val="000000"/>
        </w:rPr>
        <w:t xml:space="preserve">6. </w:t>
      </w:r>
      <w:r>
        <w:rPr>
          <w:rFonts w:ascii="宋体" w:hAnsi="宋体" w:eastAsia="宋体" w:cs="宋体"/>
          <w:color w:val="000000"/>
        </w:rPr>
        <w:t>推测该都市圈接合区最有可能位于（</w:t>
      </w:r>
      <w:r>
        <w:rPr>
          <w:rFonts w:ascii="Times New Roman" w:hAnsi="Times New Roman" w:eastAsia="Times New Roman" w:cs="Times New Roman"/>
          <w:color w:val="000000"/>
        </w:rPr>
        <w:t xml:space="preserve">   </w:t>
      </w:r>
      <w:r>
        <w:rPr>
          <w:rFonts w:ascii="宋体" w:hAnsi="宋体" w:eastAsia="宋体" w:cs="宋体"/>
          <w:color w:val="000000"/>
        </w:rPr>
        <w:t>）</w:t>
      </w:r>
    </w:p>
    <w:p w14:paraId="45755D48">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成渝都市圈</w:t>
      </w:r>
      <w:r>
        <w:rPr>
          <w:color w:val="000000"/>
        </w:rPr>
        <w:tab/>
      </w:r>
      <w:r>
        <w:rPr>
          <w:color w:val="000000"/>
        </w:rPr>
        <w:t xml:space="preserve">B. </w:t>
      </w:r>
      <w:r>
        <w:rPr>
          <w:rFonts w:ascii="宋体" w:hAnsi="宋体" w:eastAsia="宋体" w:cs="宋体"/>
          <w:color w:val="000000"/>
        </w:rPr>
        <w:t>长三角城市群</w:t>
      </w:r>
      <w:r>
        <w:rPr>
          <w:color w:val="000000"/>
        </w:rPr>
        <w:tab/>
      </w:r>
      <w:r>
        <w:rPr>
          <w:color w:val="000000"/>
        </w:rPr>
        <w:t xml:space="preserve">C. </w:t>
      </w:r>
      <w:r>
        <w:rPr>
          <w:rFonts w:ascii="宋体" w:hAnsi="宋体" w:eastAsia="宋体" w:cs="宋体"/>
          <w:color w:val="000000"/>
        </w:rPr>
        <w:t>天山北坡经济带</w:t>
      </w:r>
      <w:r>
        <w:rPr>
          <w:color w:val="000000"/>
        </w:rPr>
        <w:tab/>
      </w:r>
      <w:r>
        <w:rPr>
          <w:color w:val="000000"/>
        </w:rPr>
        <w:t xml:space="preserve">D. </w:t>
      </w:r>
      <w:r>
        <w:rPr>
          <w:rFonts w:ascii="宋体" w:hAnsi="宋体" w:eastAsia="宋体" w:cs="宋体"/>
          <w:color w:val="000000"/>
        </w:rPr>
        <w:t>粤港澳大湾区</w:t>
      </w:r>
    </w:p>
    <w:p w14:paraId="35000BEC">
      <w:pPr>
        <w:spacing w:line="360" w:lineRule="auto"/>
        <w:ind w:firstLine="420"/>
        <w:jc w:val="left"/>
        <w:textAlignment w:val="center"/>
        <w:rPr>
          <w:color w:val="000000"/>
        </w:rPr>
      </w:pPr>
      <w:r>
        <w:rPr>
          <w:rFonts w:ascii="楷体" w:hAnsi="楷体" w:eastAsia="楷体" w:cs="楷体"/>
          <w:color w:val="000000"/>
        </w:rPr>
        <w:t>荷兰</w:t>
      </w:r>
      <w:r>
        <w:rPr>
          <w:rFonts w:ascii="Times New Roman" w:hAnsi="Times New Roman" w:eastAsia="Times New Roman" w:cs="Times New Roman"/>
          <w:color w:val="000000"/>
        </w:rPr>
        <w:t>ASML</w:t>
      </w:r>
      <w:r>
        <w:rPr>
          <w:rFonts w:ascii="楷体" w:hAnsi="楷体" w:eastAsia="楷体" w:cs="楷体"/>
          <w:color w:val="000000"/>
        </w:rPr>
        <w:t>是全球半导体光刻设备的最大供应商。</w:t>
      </w:r>
      <w:r>
        <w:rPr>
          <w:rFonts w:ascii="Times New Roman" w:hAnsi="Times New Roman" w:eastAsia="Times New Roman" w:cs="Times New Roman"/>
          <w:color w:val="000000"/>
        </w:rPr>
        <w:t>2019</w:t>
      </w:r>
      <w:r>
        <w:rPr>
          <w:rFonts w:ascii="楷体" w:hAnsi="楷体" w:eastAsia="楷体" w:cs="楷体"/>
          <w:color w:val="000000"/>
        </w:rPr>
        <w:t>年，其销售额为</w:t>
      </w:r>
      <w:r>
        <w:rPr>
          <w:rFonts w:ascii="Times New Roman" w:hAnsi="Times New Roman" w:eastAsia="Times New Roman" w:cs="Times New Roman"/>
          <w:color w:val="000000"/>
        </w:rPr>
        <w:t>118</w:t>
      </w:r>
      <w:r>
        <w:rPr>
          <w:rFonts w:ascii="楷体" w:hAnsi="楷体" w:eastAsia="楷体" w:cs="楷体"/>
          <w:color w:val="000000"/>
        </w:rPr>
        <w:t>亿欧元，研发支出达</w:t>
      </w:r>
      <w:r>
        <w:rPr>
          <w:rFonts w:ascii="Times New Roman" w:hAnsi="Times New Roman" w:eastAsia="Times New Roman" w:cs="Times New Roman"/>
          <w:color w:val="000000"/>
        </w:rPr>
        <w:t>20</w:t>
      </w:r>
      <w:r>
        <w:rPr>
          <w:rFonts w:ascii="楷体" w:hAnsi="楷体" w:eastAsia="楷体" w:cs="楷体"/>
          <w:color w:val="000000"/>
        </w:rPr>
        <w:t>亿欧元，占销售额的</w:t>
      </w:r>
      <w:r>
        <w:rPr>
          <w:rFonts w:ascii="Times New Roman" w:hAnsi="Times New Roman" w:eastAsia="Times New Roman" w:cs="Times New Roman"/>
          <w:color w:val="000000"/>
        </w:rPr>
        <w:t>16.9%</w:t>
      </w:r>
      <w:r>
        <w:rPr>
          <w:rFonts w:ascii="楷体" w:hAnsi="楷体" w:eastAsia="楷体" w:cs="楷体"/>
          <w:color w:val="000000"/>
        </w:rPr>
        <w:t>，高于行业</w:t>
      </w:r>
      <w:r>
        <w:rPr>
          <w:rFonts w:ascii="Times New Roman" w:hAnsi="Times New Roman" w:eastAsia="Times New Roman" w:cs="Times New Roman"/>
          <w:color w:val="000000"/>
        </w:rPr>
        <w:t>10%</w:t>
      </w:r>
      <w:r>
        <w:rPr>
          <w:rFonts w:ascii="楷体" w:hAnsi="楷体" w:eastAsia="楷体" w:cs="楷体"/>
          <w:color w:val="000000"/>
        </w:rPr>
        <w:t>的平均水平。根据光刻设备的需求，荷兰</w:t>
      </w:r>
      <w:r>
        <w:rPr>
          <w:rFonts w:ascii="Times New Roman" w:hAnsi="Times New Roman" w:eastAsia="Times New Roman" w:cs="Times New Roman"/>
          <w:color w:val="000000"/>
        </w:rPr>
        <w:t>ASML</w:t>
      </w:r>
      <w:r>
        <w:rPr>
          <w:rFonts w:ascii="楷体" w:hAnsi="楷体" w:eastAsia="楷体" w:cs="楷体"/>
          <w:color w:val="000000"/>
        </w:rPr>
        <w:t>负责组件的研发和设计，供应商处理实际模块和组件的生产，而关键供应商在光刻设备领域只能专项许可给荷兰</w:t>
      </w:r>
      <w:r>
        <w:rPr>
          <w:rFonts w:ascii="Times New Roman" w:hAnsi="Times New Roman" w:eastAsia="Times New Roman" w:cs="Times New Roman"/>
          <w:color w:val="000000"/>
        </w:rPr>
        <w:t>ASML</w:t>
      </w:r>
      <w:r>
        <w:rPr>
          <w:rFonts w:ascii="楷体" w:hAnsi="楷体" w:eastAsia="楷体" w:cs="楷体"/>
          <w:color w:val="000000"/>
        </w:rPr>
        <w:t>使用。下图示意荷兰</w:t>
      </w:r>
      <w:r>
        <w:rPr>
          <w:rFonts w:ascii="Times New Roman" w:hAnsi="Times New Roman" w:eastAsia="Times New Roman" w:cs="Times New Roman"/>
          <w:color w:val="000000"/>
        </w:rPr>
        <w:t>ASML</w:t>
      </w:r>
      <w:r>
        <w:rPr>
          <w:rFonts w:ascii="楷体" w:hAnsi="楷体" w:eastAsia="楷体" w:cs="楷体"/>
          <w:color w:val="000000"/>
        </w:rPr>
        <w:t>的创新生产模式。据此完成下面小题。</w:t>
      </w:r>
    </w:p>
    <w:p w14:paraId="361B24D8">
      <w:pPr>
        <w:spacing w:line="360" w:lineRule="auto"/>
        <w:jc w:val="left"/>
        <w:textAlignment w:val="center"/>
        <w:rPr>
          <w:color w:val="000000"/>
        </w:rPr>
      </w:pPr>
      <w:r>
        <w:rPr>
          <w:color w:val="000000"/>
        </w:rPr>
        <w:drawing>
          <wp:inline distT="0" distB="0" distL="114300" distR="114300">
            <wp:extent cx="3829050" cy="197167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3829050" cy="1971675"/>
                    </a:xfrm>
                    <a:prstGeom prst="rect">
                      <a:avLst/>
                    </a:prstGeom>
                  </pic:spPr>
                </pic:pic>
              </a:graphicData>
            </a:graphic>
          </wp:inline>
        </w:drawing>
      </w:r>
    </w:p>
    <w:p w14:paraId="76DB2E30">
      <w:pPr>
        <w:spacing w:line="360" w:lineRule="auto"/>
        <w:jc w:val="left"/>
        <w:textAlignment w:val="center"/>
        <w:rPr>
          <w:color w:val="000000"/>
        </w:rPr>
      </w:pPr>
      <w:r>
        <w:rPr>
          <w:color w:val="000000"/>
        </w:rPr>
        <w:t xml:space="preserve">7. </w:t>
      </w:r>
      <w:r>
        <w:rPr>
          <w:rFonts w:ascii="宋体" w:hAnsi="宋体" w:eastAsia="宋体" w:cs="宋体"/>
          <w:color w:val="000000"/>
        </w:rPr>
        <w:t>图示生产模式可以（</w:t>
      </w:r>
      <w:r>
        <w:rPr>
          <w:rFonts w:ascii="Times New Roman" w:hAnsi="Times New Roman" w:eastAsia="Times New Roman" w:cs="Times New Roman"/>
          <w:color w:val="000000"/>
        </w:rPr>
        <w:t xml:space="preserve">   </w:t>
      </w:r>
      <w:r>
        <w:rPr>
          <w:rFonts w:ascii="宋体" w:hAnsi="宋体" w:eastAsia="宋体" w:cs="宋体"/>
          <w:color w:val="000000"/>
        </w:rPr>
        <w:t>）</w:t>
      </w:r>
    </w:p>
    <w:p w14:paraId="17815993">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加强企业与供应商协作</w:t>
      </w:r>
      <w:r>
        <w:rPr>
          <w:color w:val="000000"/>
        </w:rPr>
        <w:tab/>
      </w:r>
      <w:r>
        <w:rPr>
          <w:color w:val="000000"/>
        </w:rPr>
        <w:t xml:space="preserve">B. </w:t>
      </w:r>
      <w:r>
        <w:rPr>
          <w:rFonts w:ascii="宋体" w:hAnsi="宋体" w:eastAsia="宋体" w:cs="宋体"/>
          <w:color w:val="000000"/>
        </w:rPr>
        <w:t>降低产品组件运费</w:t>
      </w:r>
    </w:p>
    <w:p w14:paraId="0D8D89CC">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节省企业产品研发成本</w:t>
      </w:r>
      <w:r>
        <w:rPr>
          <w:color w:val="000000"/>
        </w:rPr>
        <w:tab/>
      </w:r>
      <w:r>
        <w:rPr>
          <w:color w:val="000000"/>
        </w:rPr>
        <w:t xml:space="preserve">D. </w:t>
      </w:r>
      <w:r>
        <w:rPr>
          <w:rFonts w:ascii="宋体" w:hAnsi="宋体" w:eastAsia="宋体" w:cs="宋体"/>
          <w:color w:val="000000"/>
        </w:rPr>
        <w:t>降低企业市场风险</w:t>
      </w:r>
    </w:p>
    <w:p w14:paraId="3456B50A">
      <w:pPr>
        <w:spacing w:line="360" w:lineRule="auto"/>
        <w:jc w:val="left"/>
        <w:textAlignment w:val="center"/>
        <w:rPr>
          <w:color w:val="000000"/>
        </w:rPr>
      </w:pPr>
      <w:r>
        <w:rPr>
          <w:color w:val="000000"/>
        </w:rPr>
        <w:t xml:space="preserve">8. </w:t>
      </w:r>
      <w:r>
        <w:rPr>
          <w:rFonts w:ascii="宋体" w:hAnsi="宋体" w:eastAsia="宋体" w:cs="宋体"/>
          <w:color w:val="000000"/>
        </w:rPr>
        <w:t>荷兰</w:t>
      </w:r>
      <w:r>
        <w:rPr>
          <w:rFonts w:ascii="Times New Roman" w:hAnsi="Times New Roman" w:eastAsia="Times New Roman" w:cs="Times New Roman"/>
          <w:color w:val="000000"/>
        </w:rPr>
        <w:t>ASML</w:t>
      </w:r>
      <w:r>
        <w:rPr>
          <w:rFonts w:ascii="宋体" w:hAnsi="宋体" w:eastAsia="宋体" w:cs="宋体"/>
          <w:color w:val="000000"/>
        </w:rPr>
        <w:t>在光刻设备领域中要求专项许可的最终目的是（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2E5B90EB">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加快技术更新</w:t>
      </w:r>
      <w:r>
        <w:rPr>
          <w:color w:val="000000"/>
        </w:rPr>
        <w:tab/>
      </w:r>
      <w:r>
        <w:rPr>
          <w:color w:val="000000"/>
        </w:rPr>
        <w:t xml:space="preserve">B. </w:t>
      </w:r>
      <w:r>
        <w:rPr>
          <w:rFonts w:ascii="宋体" w:hAnsi="宋体" w:eastAsia="宋体" w:cs="宋体"/>
          <w:color w:val="000000"/>
        </w:rPr>
        <w:t>保护技术优势</w:t>
      </w:r>
      <w:r>
        <w:rPr>
          <w:color w:val="000000"/>
        </w:rPr>
        <w:tab/>
      </w:r>
      <w:r>
        <w:rPr>
          <w:color w:val="000000"/>
        </w:rPr>
        <w:t xml:space="preserve">C. </w:t>
      </w:r>
      <w:r>
        <w:rPr>
          <w:rFonts w:ascii="宋体" w:hAnsi="宋体" w:eastAsia="宋体" w:cs="宋体"/>
          <w:color w:val="000000"/>
        </w:rPr>
        <w:t>吸引政府资助</w:t>
      </w:r>
      <w:r>
        <w:rPr>
          <w:color w:val="000000"/>
        </w:rPr>
        <w:tab/>
      </w:r>
      <w:r>
        <w:rPr>
          <w:color w:val="000000"/>
        </w:rPr>
        <w:t xml:space="preserve">D. </w:t>
      </w:r>
      <w:r>
        <w:rPr>
          <w:rFonts w:ascii="宋体" w:hAnsi="宋体" w:eastAsia="宋体" w:cs="宋体"/>
          <w:color w:val="000000"/>
        </w:rPr>
        <w:t>保障部件供给</w:t>
      </w:r>
    </w:p>
    <w:p w14:paraId="54C76385">
      <w:pPr>
        <w:spacing w:line="360" w:lineRule="auto"/>
        <w:ind w:firstLine="420"/>
        <w:jc w:val="left"/>
        <w:textAlignment w:val="center"/>
        <w:rPr>
          <w:color w:val="000000"/>
        </w:rPr>
      </w:pPr>
      <w:r>
        <w:rPr>
          <w:rFonts w:ascii="Times New Roman" w:hAnsi="Times New Roman" w:eastAsia="Times New Roman" w:cs="Times New Roman"/>
          <w:color w:val="000000"/>
        </w:rPr>
        <w:t>2024</w:t>
      </w:r>
      <w:r>
        <w:rPr>
          <w:rFonts w:ascii="楷体" w:hAnsi="楷体" w:eastAsia="楷体" w:cs="楷体"/>
          <w:color w:val="000000"/>
        </w:rPr>
        <w:t>年</w:t>
      </w:r>
      <w:r>
        <w:rPr>
          <w:rFonts w:ascii="Times New Roman" w:hAnsi="Times New Roman" w:eastAsia="Times New Roman" w:cs="Times New Roman"/>
          <w:color w:val="000000"/>
        </w:rPr>
        <w:t>4</w:t>
      </w:r>
      <w:r>
        <w:rPr>
          <w:rFonts w:ascii="楷体" w:hAnsi="楷体" w:eastAsia="楷体" w:cs="楷体"/>
          <w:color w:val="000000"/>
        </w:rPr>
        <w:t>月</w:t>
      </w:r>
      <w:r>
        <w:rPr>
          <w:rFonts w:ascii="Times New Roman" w:hAnsi="Times New Roman" w:eastAsia="Times New Roman" w:cs="Times New Roman"/>
          <w:color w:val="000000"/>
        </w:rPr>
        <w:t>19</w:t>
      </w:r>
      <w:r>
        <w:rPr>
          <w:rFonts w:ascii="楷体" w:hAnsi="楷体" w:eastAsia="楷体" w:cs="楷体"/>
          <w:color w:val="000000"/>
        </w:rPr>
        <w:t>日，飑线自西北向东南经过广东清远，天空出现一秒变绿的现象。飑线尺度较小，易带来短时间雷雨大风等强对流天气，多发生在春夏过渡季节的锋面系统暖区中。据此完成下面小题。</w:t>
      </w:r>
    </w:p>
    <w:p w14:paraId="793376F9">
      <w:pPr>
        <w:spacing w:line="360" w:lineRule="auto"/>
        <w:jc w:val="left"/>
        <w:textAlignment w:val="center"/>
        <w:rPr>
          <w:color w:val="000000"/>
        </w:rPr>
      </w:pPr>
      <w:r>
        <w:rPr>
          <w:color w:val="000000"/>
        </w:rPr>
        <w:t xml:space="preserve">9. </w:t>
      </w:r>
      <w:r>
        <w:rPr>
          <w:rFonts w:ascii="宋体" w:hAnsi="宋体" w:eastAsia="宋体" w:cs="宋体"/>
          <w:color w:val="000000"/>
        </w:rPr>
        <w:t>随着锋面系统的临近，暖区对流加强，主要是因为（   ）</w:t>
      </w:r>
    </w:p>
    <w:p w14:paraId="28A914FF">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水汽含量上升</w:t>
      </w:r>
      <w:r>
        <w:rPr>
          <w:color w:val="000000"/>
        </w:rPr>
        <w:tab/>
      </w:r>
      <w:r>
        <w:rPr>
          <w:color w:val="000000"/>
        </w:rPr>
        <w:t xml:space="preserve">B. </w:t>
      </w:r>
      <w:r>
        <w:rPr>
          <w:rFonts w:ascii="宋体" w:hAnsi="宋体" w:eastAsia="宋体" w:cs="宋体"/>
          <w:color w:val="000000"/>
        </w:rPr>
        <w:t>地表风速加大</w:t>
      </w:r>
      <w:r>
        <w:rPr>
          <w:color w:val="000000"/>
        </w:rPr>
        <w:tab/>
      </w:r>
      <w:r>
        <w:rPr>
          <w:color w:val="000000"/>
        </w:rPr>
        <w:t xml:space="preserve">C. </w:t>
      </w:r>
      <w:r>
        <w:rPr>
          <w:rFonts w:ascii="宋体" w:hAnsi="宋体" w:eastAsia="宋体" w:cs="宋体"/>
          <w:color w:val="000000"/>
        </w:rPr>
        <w:t>气团压缩升温</w:t>
      </w:r>
      <w:r>
        <w:rPr>
          <w:color w:val="000000"/>
        </w:rPr>
        <w:tab/>
      </w:r>
      <w:r>
        <w:rPr>
          <w:color w:val="000000"/>
        </w:rPr>
        <w:t xml:space="preserve">D. </w:t>
      </w:r>
      <w:r>
        <w:rPr>
          <w:rFonts w:ascii="宋体" w:hAnsi="宋体" w:eastAsia="宋体" w:cs="宋体"/>
          <w:color w:val="000000"/>
        </w:rPr>
        <w:t>热力对比显著</w:t>
      </w:r>
    </w:p>
    <w:p w14:paraId="7ADCB2DE">
      <w:pPr>
        <w:spacing w:line="360" w:lineRule="auto"/>
        <w:jc w:val="left"/>
        <w:textAlignment w:val="center"/>
        <w:rPr>
          <w:color w:val="000000"/>
        </w:rPr>
      </w:pPr>
      <w:r>
        <w:rPr>
          <w:color w:val="000000"/>
        </w:rPr>
        <w:t xml:space="preserve">10. </w:t>
      </w:r>
      <w:r>
        <w:rPr>
          <w:rFonts w:ascii="宋体" w:hAnsi="宋体" w:eastAsia="宋体" w:cs="宋体"/>
          <w:color w:val="000000"/>
        </w:rPr>
        <w:t>本次</w:t>
      </w:r>
      <w:r>
        <w:rPr>
          <w:color w:val="000000"/>
        </w:rPr>
        <w:t>飑</w:t>
      </w:r>
      <w:r>
        <w:rPr>
          <w:rFonts w:ascii="宋体" w:hAnsi="宋体" w:eastAsia="宋体" w:cs="宋体"/>
          <w:color w:val="000000"/>
        </w:rPr>
        <w:t>线的移动方向主要取决于（   ）</w:t>
      </w:r>
    </w:p>
    <w:p w14:paraId="41A3167A">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暖锋运动方向</w:t>
      </w:r>
      <w:r>
        <w:rPr>
          <w:color w:val="000000"/>
        </w:rPr>
        <w:tab/>
      </w:r>
      <w:r>
        <w:rPr>
          <w:color w:val="000000"/>
        </w:rPr>
        <w:t xml:space="preserve">B. </w:t>
      </w:r>
      <w:r>
        <w:rPr>
          <w:rFonts w:ascii="宋体" w:hAnsi="宋体" w:eastAsia="宋体" w:cs="宋体"/>
          <w:color w:val="000000"/>
        </w:rPr>
        <w:t>东北信风风向</w:t>
      </w:r>
      <w:r>
        <w:rPr>
          <w:color w:val="000000"/>
        </w:rPr>
        <w:tab/>
      </w:r>
      <w:r>
        <w:rPr>
          <w:color w:val="000000"/>
        </w:rPr>
        <w:t xml:space="preserve">C. </w:t>
      </w:r>
      <w:r>
        <w:rPr>
          <w:rFonts w:ascii="宋体" w:hAnsi="宋体" w:eastAsia="宋体" w:cs="宋体"/>
          <w:color w:val="000000"/>
        </w:rPr>
        <w:t>准静止锋移动方向</w:t>
      </w:r>
      <w:r>
        <w:rPr>
          <w:color w:val="000000"/>
        </w:rPr>
        <w:tab/>
      </w:r>
      <w:r>
        <w:rPr>
          <w:color w:val="000000"/>
        </w:rPr>
        <w:t xml:space="preserve">D. </w:t>
      </w:r>
      <w:r>
        <w:rPr>
          <w:rFonts w:ascii="宋体" w:hAnsi="宋体" w:eastAsia="宋体" w:cs="宋体"/>
          <w:color w:val="000000"/>
        </w:rPr>
        <w:t>冷锋运动方向</w:t>
      </w:r>
    </w:p>
    <w:p w14:paraId="05C0D8DB">
      <w:pPr>
        <w:spacing w:line="360" w:lineRule="auto"/>
        <w:ind w:firstLine="420"/>
        <w:jc w:val="left"/>
        <w:textAlignment w:val="center"/>
        <w:rPr>
          <w:color w:val="000000"/>
        </w:rPr>
      </w:pPr>
      <w:r>
        <w:rPr>
          <w:rFonts w:ascii="楷体" w:hAnsi="楷体" w:eastAsia="楷体" w:cs="楷体"/>
          <w:color w:val="000000"/>
        </w:rPr>
        <w:t>冰架是陆地冰川入海后浮在海上的部分。埃默里冰架位于南极印度洋扇区，其表面融化和底部的冻融影响冰架的物质平衡。在冰架、海洋和地形的共同作用下，产生的高密度陆架水驱动导致冰架底部融化。研究表明，海水结冰温度随着深度的增大而降低，深度超过百米的结冰温度要低于海面处。左图示意埃默里冰架位置范围，右图示意冰架底部冻融机制。读图，完成下面小题。</w:t>
      </w:r>
    </w:p>
    <w:p w14:paraId="290D68D3">
      <w:pPr>
        <w:spacing w:line="360" w:lineRule="auto"/>
        <w:jc w:val="left"/>
        <w:textAlignment w:val="center"/>
        <w:rPr>
          <w:color w:val="000000"/>
        </w:rPr>
      </w:pPr>
      <w:r>
        <w:rPr>
          <w:color w:val="000000"/>
        </w:rPr>
        <w:drawing>
          <wp:inline distT="0" distB="0" distL="114300" distR="114300">
            <wp:extent cx="3667125" cy="1504950"/>
            <wp:effectExtent l="0" t="0" r="9525"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3667125" cy="1504950"/>
                    </a:xfrm>
                    <a:prstGeom prst="rect">
                      <a:avLst/>
                    </a:prstGeom>
                  </pic:spPr>
                </pic:pic>
              </a:graphicData>
            </a:graphic>
          </wp:inline>
        </w:drawing>
      </w:r>
    </w:p>
    <w:p w14:paraId="74699043">
      <w:pPr>
        <w:spacing w:line="360" w:lineRule="auto"/>
        <w:jc w:val="left"/>
        <w:textAlignment w:val="center"/>
        <w:rPr>
          <w:color w:val="000000"/>
        </w:rPr>
      </w:pPr>
      <w:r>
        <w:rPr>
          <w:color w:val="000000"/>
        </w:rPr>
        <w:t xml:space="preserve">11. </w:t>
      </w:r>
      <w:r>
        <w:rPr>
          <w:rFonts w:ascii="宋体" w:hAnsi="宋体" w:eastAsia="宋体" w:cs="宋体"/>
          <w:color w:val="000000"/>
        </w:rPr>
        <w:t>关于甲、乙两地冰架表面的融化速率快慢及主要原因的说法，正确的是（   ）</w:t>
      </w:r>
    </w:p>
    <w:p w14:paraId="14B768DA">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甲快，甲地纬度较低</w:t>
      </w:r>
      <w:r>
        <w:rPr>
          <w:color w:val="000000"/>
        </w:rPr>
        <w:tab/>
      </w:r>
      <w:r>
        <w:rPr>
          <w:color w:val="000000"/>
        </w:rPr>
        <w:t xml:space="preserve">B. </w:t>
      </w:r>
      <w:r>
        <w:rPr>
          <w:rFonts w:ascii="宋体" w:hAnsi="宋体" w:eastAsia="宋体" w:cs="宋体"/>
          <w:color w:val="000000"/>
        </w:rPr>
        <w:t>甲快，相对靠近陆地</w:t>
      </w:r>
    </w:p>
    <w:p w14:paraId="72955665">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乙快，海拔相对较低</w:t>
      </w:r>
      <w:r>
        <w:rPr>
          <w:color w:val="000000"/>
        </w:rPr>
        <w:tab/>
      </w:r>
      <w:r>
        <w:rPr>
          <w:color w:val="000000"/>
        </w:rPr>
        <w:t xml:space="preserve">D. </w:t>
      </w:r>
      <w:r>
        <w:rPr>
          <w:rFonts w:ascii="宋体" w:hAnsi="宋体" w:eastAsia="宋体" w:cs="宋体"/>
          <w:color w:val="000000"/>
        </w:rPr>
        <w:t>乙快，极地东风较暖</w:t>
      </w:r>
    </w:p>
    <w:p w14:paraId="3A20AB05">
      <w:pPr>
        <w:spacing w:line="360" w:lineRule="auto"/>
        <w:jc w:val="left"/>
        <w:textAlignment w:val="center"/>
        <w:rPr>
          <w:color w:val="000000"/>
        </w:rPr>
      </w:pPr>
      <w:r>
        <w:rPr>
          <w:color w:val="000000"/>
        </w:rPr>
        <w:t xml:space="preserve">12. </w:t>
      </w:r>
      <w:r>
        <w:rPr>
          <w:rFonts w:ascii="宋体" w:hAnsi="宋体" w:eastAsia="宋体" w:cs="宋体"/>
          <w:color w:val="000000"/>
        </w:rPr>
        <w:t>结合右图冰架冻融机制，其作用过程排序正确的是（   ）</w:t>
      </w:r>
    </w:p>
    <w:p w14:paraId="542E3372">
      <w:pPr>
        <w:spacing w:line="360" w:lineRule="auto"/>
        <w:jc w:val="left"/>
        <w:textAlignment w:val="center"/>
        <w:rPr>
          <w:color w:val="000000"/>
        </w:rPr>
      </w:pPr>
      <w:r>
        <w:rPr>
          <w:rFonts w:ascii="宋体" w:hAnsi="宋体" w:eastAsia="宋体" w:cs="宋体"/>
          <w:color w:val="000000"/>
        </w:rPr>
        <w:t>①高密度陆架水下沉</w:t>
      </w:r>
      <w:r>
        <w:rPr>
          <w:rFonts w:ascii="Times New Roman" w:hAnsi="Times New Roman" w:eastAsia="Times New Roman" w:cs="Times New Roman"/>
          <w:color w:val="000000"/>
        </w:rPr>
        <w:t xml:space="preserve">  </w:t>
      </w:r>
      <w:r>
        <w:rPr>
          <w:rFonts w:ascii="宋体" w:hAnsi="宋体" w:eastAsia="宋体" w:cs="宋体"/>
          <w:color w:val="000000"/>
        </w:rPr>
        <w:t>②冬季表层海水结冰析盐</w:t>
      </w:r>
      <w:r>
        <w:rPr>
          <w:rFonts w:ascii="Times New Roman" w:hAnsi="Times New Roman" w:eastAsia="Times New Roman" w:cs="Times New Roman"/>
          <w:color w:val="000000"/>
        </w:rPr>
        <w:t xml:space="preserve">  </w:t>
      </w:r>
      <w:r>
        <w:rPr>
          <w:rFonts w:ascii="宋体" w:hAnsi="宋体" w:eastAsia="宋体" w:cs="宋体"/>
          <w:color w:val="000000"/>
        </w:rPr>
        <w:t>③冰架入海加速</w:t>
      </w:r>
      <w:r>
        <w:rPr>
          <w:rFonts w:ascii="Times New Roman" w:hAnsi="Times New Roman" w:eastAsia="Times New Roman" w:cs="Times New Roman"/>
          <w:color w:val="000000"/>
        </w:rPr>
        <w:t xml:space="preserve">  </w:t>
      </w:r>
      <w:r>
        <w:rPr>
          <w:rFonts w:ascii="宋体" w:hAnsi="宋体" w:eastAsia="宋体" w:cs="宋体"/>
          <w:color w:val="000000"/>
        </w:rPr>
        <w:t>④高密度陆架水融化底部冰架</w:t>
      </w:r>
    </w:p>
    <w:p w14:paraId="34ACD8B7">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②①③④</w:t>
      </w:r>
      <w:r>
        <w:rPr>
          <w:color w:val="000000"/>
        </w:rPr>
        <w:tab/>
      </w:r>
      <w:r>
        <w:rPr>
          <w:color w:val="000000"/>
        </w:rPr>
        <w:t xml:space="preserve">B. </w:t>
      </w:r>
      <w:r>
        <w:rPr>
          <w:rFonts w:ascii="宋体" w:hAnsi="宋体" w:eastAsia="宋体" w:cs="宋体"/>
          <w:color w:val="000000"/>
        </w:rPr>
        <w:t>②①④③</w:t>
      </w:r>
      <w:r>
        <w:rPr>
          <w:color w:val="000000"/>
        </w:rPr>
        <w:tab/>
      </w:r>
      <w:r>
        <w:rPr>
          <w:color w:val="000000"/>
        </w:rPr>
        <w:t xml:space="preserve">C. </w:t>
      </w:r>
      <w:r>
        <w:rPr>
          <w:rFonts w:ascii="宋体" w:hAnsi="宋体" w:eastAsia="宋体" w:cs="宋体"/>
          <w:color w:val="000000"/>
        </w:rPr>
        <w:t>③①②④</w:t>
      </w:r>
      <w:r>
        <w:rPr>
          <w:color w:val="000000"/>
        </w:rPr>
        <w:tab/>
      </w:r>
      <w:r>
        <w:rPr>
          <w:color w:val="000000"/>
        </w:rPr>
        <w:t xml:space="preserve">D. </w:t>
      </w:r>
      <w:r>
        <w:rPr>
          <w:rFonts w:ascii="宋体" w:hAnsi="宋体" w:eastAsia="宋体" w:cs="宋体"/>
          <w:color w:val="000000"/>
        </w:rPr>
        <w:t>③②④①</w:t>
      </w:r>
    </w:p>
    <w:p w14:paraId="377AC6E0">
      <w:pPr>
        <w:spacing w:line="360" w:lineRule="auto"/>
        <w:jc w:val="left"/>
        <w:textAlignment w:val="center"/>
        <w:rPr>
          <w:color w:val="000000"/>
        </w:rPr>
      </w:pPr>
      <w:r>
        <w:rPr>
          <w:color w:val="000000"/>
        </w:rPr>
        <w:t xml:space="preserve">13. </w:t>
      </w:r>
      <w:r>
        <w:rPr>
          <w:rFonts w:ascii="宋体" w:hAnsi="宋体" w:eastAsia="宋体" w:cs="宋体"/>
          <w:color w:val="000000"/>
        </w:rPr>
        <w:t>关于冰架水促进冰架增长的原因的说法，正确的是（   ）</w:t>
      </w:r>
    </w:p>
    <w:p w14:paraId="61799E3B">
      <w:pPr>
        <w:spacing w:line="360" w:lineRule="auto"/>
        <w:jc w:val="left"/>
        <w:textAlignment w:val="center"/>
        <w:rPr>
          <w:color w:val="000000"/>
        </w:rPr>
      </w:pPr>
      <w:r>
        <w:rPr>
          <w:color w:val="000000"/>
        </w:rPr>
        <w:t xml:space="preserve">A. </w:t>
      </w:r>
      <w:r>
        <w:rPr>
          <w:rFonts w:ascii="宋体" w:hAnsi="宋体" w:eastAsia="宋体" w:cs="宋体"/>
          <w:color w:val="000000"/>
        </w:rPr>
        <w:t>冰架水上升中受冰架冷却，温度降低</w:t>
      </w:r>
    </w:p>
    <w:p w14:paraId="707D1A2A">
      <w:pPr>
        <w:spacing w:line="360" w:lineRule="auto"/>
        <w:jc w:val="left"/>
        <w:textAlignment w:val="center"/>
        <w:rPr>
          <w:color w:val="000000"/>
        </w:rPr>
      </w:pPr>
      <w:r>
        <w:rPr>
          <w:color w:val="000000"/>
        </w:rPr>
        <w:t xml:space="preserve">B. </w:t>
      </w:r>
      <w:r>
        <w:rPr>
          <w:rFonts w:ascii="宋体" w:hAnsi="宋体" w:eastAsia="宋体" w:cs="宋体"/>
          <w:color w:val="000000"/>
        </w:rPr>
        <w:t>冰架水密度大稳定在底部，保持低温</w:t>
      </w:r>
    </w:p>
    <w:p w14:paraId="14652012">
      <w:pPr>
        <w:spacing w:line="360" w:lineRule="auto"/>
        <w:jc w:val="left"/>
        <w:textAlignment w:val="center"/>
        <w:rPr>
          <w:color w:val="000000"/>
        </w:rPr>
      </w:pPr>
      <w:r>
        <w:rPr>
          <w:color w:val="000000"/>
        </w:rPr>
        <w:t xml:space="preserve">C. </w:t>
      </w:r>
      <w:r>
        <w:rPr>
          <w:rFonts w:ascii="宋体" w:hAnsi="宋体" w:eastAsia="宋体" w:cs="宋体"/>
          <w:color w:val="000000"/>
        </w:rPr>
        <w:t>冰架水盐度高密度大，相对容易结冰</w:t>
      </w:r>
    </w:p>
    <w:p w14:paraId="58367968">
      <w:pPr>
        <w:spacing w:line="360" w:lineRule="auto"/>
        <w:jc w:val="left"/>
        <w:textAlignment w:val="center"/>
        <w:rPr>
          <w:color w:val="000000"/>
        </w:rPr>
      </w:pPr>
      <w:r>
        <w:rPr>
          <w:color w:val="000000"/>
        </w:rPr>
        <w:t xml:space="preserve">D. </w:t>
      </w:r>
      <w:r>
        <w:rPr>
          <w:rFonts w:ascii="宋体" w:hAnsi="宋体" w:eastAsia="宋体" w:cs="宋体"/>
          <w:color w:val="000000"/>
        </w:rPr>
        <w:t>冰架水密度小上升后，海水冰点降低</w:t>
      </w:r>
    </w:p>
    <w:p w14:paraId="3E76EB2D">
      <w:pPr>
        <w:spacing w:line="360" w:lineRule="auto"/>
        <w:ind w:firstLine="420"/>
        <w:jc w:val="left"/>
        <w:textAlignment w:val="center"/>
        <w:rPr>
          <w:color w:val="000000"/>
        </w:rPr>
      </w:pPr>
      <w:r>
        <w:rPr>
          <w:rFonts w:ascii="楷体" w:hAnsi="楷体" w:eastAsia="楷体" w:cs="楷体"/>
          <w:color w:val="000000"/>
        </w:rPr>
        <w:t>林线是指高度大于</w:t>
      </w:r>
      <w:r>
        <w:rPr>
          <w:rFonts w:ascii="Times New Roman" w:hAnsi="Times New Roman" w:eastAsia="Times New Roman" w:cs="Times New Roman"/>
          <w:color w:val="000000"/>
        </w:rPr>
        <w:t>5</w:t>
      </w:r>
      <w:r>
        <w:rPr>
          <w:rFonts w:ascii="楷体" w:hAnsi="楷体" w:eastAsia="楷体" w:cs="楷体"/>
          <w:color w:val="000000"/>
        </w:rPr>
        <w:t>米且冠层覆盖度大于</w:t>
      </w:r>
      <w:r>
        <w:rPr>
          <w:rFonts w:ascii="Times New Roman" w:hAnsi="Times New Roman" w:eastAsia="Times New Roman" w:cs="Times New Roman"/>
          <w:color w:val="000000"/>
        </w:rPr>
        <w:t>30%</w:t>
      </w:r>
      <w:r>
        <w:rPr>
          <w:rFonts w:ascii="楷体" w:hAnsi="楷体" w:eastAsia="楷体" w:cs="楷体"/>
          <w:color w:val="000000"/>
        </w:rPr>
        <w:t>的茂密森林分布的海拔或纬度上限，树种线是指树种个体分布的海拔或纬度上限。树线位于林线和树种线之间，指高度大于</w:t>
      </w:r>
      <w:r>
        <w:rPr>
          <w:rFonts w:ascii="Times New Roman" w:hAnsi="Times New Roman" w:eastAsia="Times New Roman" w:cs="Times New Roman"/>
          <w:color w:val="000000"/>
        </w:rPr>
        <w:t>2</w:t>
      </w:r>
      <w:r>
        <w:rPr>
          <w:rFonts w:ascii="楷体" w:hAnsi="楷体" w:eastAsia="楷体" w:cs="楷体"/>
          <w:color w:val="000000"/>
        </w:rPr>
        <w:t>米的直立树木分布的海拔或纬度上限。林线和树种线的交接地带被称为树线过渡带，过渡带内以树苗为主。色季拉山位于雅鲁藏布江大拐弯西北侧，近</w:t>
      </w:r>
      <w:r>
        <w:rPr>
          <w:rFonts w:ascii="Times New Roman" w:hAnsi="Times New Roman" w:eastAsia="Times New Roman" w:cs="Times New Roman"/>
          <w:color w:val="000000"/>
        </w:rPr>
        <w:t>200</w:t>
      </w:r>
      <w:r>
        <w:rPr>
          <w:rFonts w:ascii="楷体" w:hAnsi="楷体" w:eastAsia="楷体" w:cs="楷体"/>
          <w:color w:val="000000"/>
        </w:rPr>
        <w:t>年来，色季拉山树线过渡带内树苗数量有较明显增加，但树线位置波动不明显。左图示意树线过渡带结构，右图示意色季拉山地理位置。读图，完成下面小题。</w:t>
      </w:r>
    </w:p>
    <w:p w14:paraId="3D34554A">
      <w:pPr>
        <w:spacing w:line="360" w:lineRule="auto"/>
        <w:jc w:val="left"/>
        <w:textAlignment w:val="center"/>
        <w:rPr>
          <w:color w:val="000000"/>
        </w:rPr>
      </w:pPr>
      <w:r>
        <w:rPr>
          <w:color w:val="000000"/>
        </w:rPr>
        <w:drawing>
          <wp:inline distT="0" distB="0" distL="114300" distR="114300">
            <wp:extent cx="3733800" cy="1476375"/>
            <wp:effectExtent l="0" t="0" r="0"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3733800" cy="1476375"/>
                    </a:xfrm>
                    <a:prstGeom prst="rect">
                      <a:avLst/>
                    </a:prstGeom>
                  </pic:spPr>
                </pic:pic>
              </a:graphicData>
            </a:graphic>
          </wp:inline>
        </w:drawing>
      </w:r>
    </w:p>
    <w:p w14:paraId="6E2D2780">
      <w:pPr>
        <w:spacing w:line="360" w:lineRule="auto"/>
        <w:jc w:val="left"/>
        <w:textAlignment w:val="center"/>
        <w:rPr>
          <w:color w:val="000000"/>
        </w:rPr>
      </w:pPr>
      <w:r>
        <w:rPr>
          <w:color w:val="000000"/>
        </w:rPr>
        <w:t xml:space="preserve">14. </w:t>
      </w:r>
      <w:r>
        <w:rPr>
          <w:rFonts w:ascii="宋体" w:hAnsi="宋体" w:eastAsia="宋体" w:cs="宋体"/>
          <w:color w:val="000000"/>
        </w:rPr>
        <w:t>监测色季拉山近十年树线变化主要用到的地理信息技术是（   ）</w:t>
      </w:r>
    </w:p>
    <w:p w14:paraId="649BA6A7">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RS</w:t>
      </w:r>
      <w:r>
        <w:rPr>
          <w:color w:val="000000"/>
        </w:rPr>
        <w:tab/>
      </w:r>
      <w:r>
        <w:rPr>
          <w:color w:val="000000"/>
        </w:rPr>
        <w:t xml:space="preserve">B. </w:t>
      </w:r>
      <w:r>
        <w:rPr>
          <w:rFonts w:ascii="Times New Roman" w:hAnsi="Times New Roman" w:eastAsia="Times New Roman" w:cs="Times New Roman"/>
          <w:color w:val="000000"/>
        </w:rPr>
        <w:t>GIS</w:t>
      </w:r>
      <w:r>
        <w:rPr>
          <w:color w:val="000000"/>
        </w:rPr>
        <w:tab/>
      </w:r>
      <w:r>
        <w:rPr>
          <w:color w:val="000000"/>
        </w:rPr>
        <w:t xml:space="preserve">C. </w:t>
      </w:r>
      <w:r>
        <w:rPr>
          <w:rFonts w:ascii="Times New Roman" w:hAnsi="Times New Roman" w:eastAsia="Times New Roman" w:cs="Times New Roman"/>
          <w:color w:val="000000"/>
        </w:rPr>
        <w:t>GNSS</w:t>
      </w:r>
      <w:r>
        <w:rPr>
          <w:color w:val="000000"/>
        </w:rPr>
        <w:tab/>
      </w:r>
      <w:r>
        <w:rPr>
          <w:color w:val="000000"/>
        </w:rPr>
        <w:t xml:space="preserve">D. </w:t>
      </w:r>
      <w:r>
        <w:rPr>
          <w:rFonts w:ascii="Times New Roman" w:hAnsi="Times New Roman" w:eastAsia="Times New Roman" w:cs="Times New Roman"/>
          <w:color w:val="000000"/>
        </w:rPr>
        <w:t>BDS</w:t>
      </w:r>
    </w:p>
    <w:p w14:paraId="1281269A">
      <w:pPr>
        <w:spacing w:line="360" w:lineRule="auto"/>
        <w:jc w:val="left"/>
        <w:textAlignment w:val="center"/>
        <w:rPr>
          <w:color w:val="000000"/>
        </w:rPr>
      </w:pPr>
      <w:r>
        <w:rPr>
          <w:color w:val="000000"/>
        </w:rPr>
        <w:t xml:space="preserve">15. </w:t>
      </w:r>
      <w:r>
        <w:rPr>
          <w:rFonts w:ascii="宋体" w:hAnsi="宋体" w:eastAsia="宋体" w:cs="宋体"/>
          <w:color w:val="000000"/>
        </w:rPr>
        <w:t>随着全球气候变暖，色季拉山树线过渡带（   ）</w:t>
      </w:r>
    </w:p>
    <w:p w14:paraId="4DFAF7DA">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到达地面太阳辐射增强</w:t>
      </w:r>
      <w:r>
        <w:rPr>
          <w:color w:val="000000"/>
        </w:rPr>
        <w:tab/>
      </w:r>
      <w:r>
        <w:rPr>
          <w:color w:val="000000"/>
        </w:rPr>
        <w:t xml:space="preserve">B. </w:t>
      </w:r>
      <w:r>
        <w:rPr>
          <w:rFonts w:ascii="宋体" w:hAnsi="宋体" w:eastAsia="宋体" w:cs="宋体"/>
          <w:color w:val="000000"/>
        </w:rPr>
        <w:t>土壤有机质消耗增加</w:t>
      </w:r>
    </w:p>
    <w:p w14:paraId="12670062">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区域大气降水显著增多</w:t>
      </w:r>
      <w:r>
        <w:rPr>
          <w:color w:val="000000"/>
        </w:rPr>
        <w:tab/>
      </w:r>
      <w:r>
        <w:rPr>
          <w:color w:val="000000"/>
        </w:rPr>
        <w:t xml:space="preserve">D. </w:t>
      </w:r>
      <w:r>
        <w:rPr>
          <w:rFonts w:ascii="宋体" w:hAnsi="宋体" w:eastAsia="宋体" w:cs="宋体"/>
          <w:color w:val="000000"/>
        </w:rPr>
        <w:t>土壤盐渍化明显加剧</w:t>
      </w:r>
    </w:p>
    <w:p w14:paraId="2EC50768">
      <w:pPr>
        <w:spacing w:line="360" w:lineRule="auto"/>
        <w:jc w:val="left"/>
        <w:textAlignment w:val="center"/>
        <w:rPr>
          <w:color w:val="000000"/>
        </w:rPr>
      </w:pPr>
      <w:r>
        <w:rPr>
          <w:color w:val="000000"/>
        </w:rPr>
        <w:t xml:space="preserve">16. </w:t>
      </w:r>
      <w:r>
        <w:rPr>
          <w:rFonts w:ascii="宋体" w:hAnsi="宋体" w:eastAsia="宋体" w:cs="宋体"/>
          <w:color w:val="000000"/>
        </w:rPr>
        <w:t>近</w:t>
      </w:r>
      <w:r>
        <w:rPr>
          <w:rFonts w:ascii="Times New Roman" w:hAnsi="Times New Roman" w:eastAsia="Times New Roman" w:cs="Times New Roman"/>
          <w:color w:val="000000"/>
        </w:rPr>
        <w:t>200</w:t>
      </w:r>
      <w:r>
        <w:rPr>
          <w:rFonts w:ascii="宋体" w:hAnsi="宋体" w:eastAsia="宋体" w:cs="宋体"/>
          <w:color w:val="000000"/>
        </w:rPr>
        <w:t>年来，色季拉山树线位置波动不明显的原因最可能是（   ）</w:t>
      </w:r>
    </w:p>
    <w:p w14:paraId="4E4A73AE">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高山带成土速度较为缓慢</w:t>
      </w:r>
      <w:r>
        <w:rPr>
          <w:color w:val="000000"/>
        </w:rPr>
        <w:tab/>
      </w:r>
      <w:r>
        <w:rPr>
          <w:color w:val="000000"/>
        </w:rPr>
        <w:t xml:space="preserve">B. </w:t>
      </w:r>
      <w:r>
        <w:rPr>
          <w:rFonts w:ascii="宋体" w:hAnsi="宋体" w:eastAsia="宋体" w:cs="宋体"/>
          <w:color w:val="000000"/>
        </w:rPr>
        <w:t>雪线与树线海拔差距大</w:t>
      </w:r>
    </w:p>
    <w:p w14:paraId="2E7AB925">
      <w:pPr>
        <w:tabs>
          <w:tab w:val="left" w:pos="4873"/>
        </w:tabs>
        <w:spacing w:line="360" w:lineRule="auto"/>
        <w:jc w:val="left"/>
        <w:textAlignment w:val="center"/>
        <w:rPr>
          <w:color w:val="000000"/>
        </w:rPr>
      </w:pPr>
      <w:r>
        <w:rPr>
          <w:color w:val="000000"/>
        </w:rPr>
        <w:t>C</w:t>
      </w:r>
      <w:r>
        <w:rPr>
          <w:color w:val="000000"/>
          <w:position w:val="-22"/>
        </w:rPr>
        <w:drawing>
          <wp:inline distT="0" distB="0" distL="114300" distR="114300">
            <wp:extent cx="31750" cy="88900"/>
            <wp:effectExtent l="0" t="0" r="0"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7"/>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树线过渡带内冻土分布多</w:t>
      </w:r>
      <w:r>
        <w:rPr>
          <w:color w:val="000000"/>
        </w:rPr>
        <w:tab/>
      </w:r>
      <w:r>
        <w:rPr>
          <w:color w:val="000000"/>
        </w:rPr>
        <w:t xml:space="preserve">D. </w:t>
      </w:r>
      <w:r>
        <w:rPr>
          <w:rFonts w:ascii="宋体" w:hAnsi="宋体" w:eastAsia="宋体" w:cs="宋体"/>
          <w:color w:val="000000"/>
        </w:rPr>
        <w:t>生长期内低温冻害多发</w:t>
      </w:r>
    </w:p>
    <w:p w14:paraId="222884D7">
      <w:pPr>
        <w:spacing w:line="285" w:lineRule="auto"/>
        <w:jc w:val="left"/>
        <w:textAlignment w:val="center"/>
        <w:rPr>
          <w:color w:val="000000"/>
        </w:rPr>
      </w:pPr>
      <w:r>
        <w:rPr>
          <w:rFonts w:ascii="宋体" w:hAnsi="宋体" w:eastAsia="宋体" w:cs="宋体"/>
          <w:b/>
          <w:color w:val="000000"/>
          <w:sz w:val="24"/>
        </w:rPr>
        <w:t>二、非选择题（本大题共</w:t>
      </w:r>
      <w:r>
        <w:rPr>
          <w:rFonts w:ascii="Times New Roman" w:hAnsi="Times New Roman" w:eastAsia="Times New Roman" w:cs="Times New Roman"/>
          <w:b/>
          <w:color w:val="000000"/>
          <w:sz w:val="24"/>
        </w:rPr>
        <w:t>4</w:t>
      </w:r>
      <w:r>
        <w:rPr>
          <w:rFonts w:ascii="宋体" w:hAnsi="宋体" w:eastAsia="宋体" w:cs="宋体"/>
          <w:b/>
          <w:color w:val="000000"/>
          <w:sz w:val="24"/>
        </w:rPr>
        <w:t>小题，共</w:t>
      </w:r>
      <w:r>
        <w:rPr>
          <w:rFonts w:ascii="Times New Roman" w:hAnsi="Times New Roman" w:eastAsia="Times New Roman" w:cs="Times New Roman"/>
          <w:b/>
          <w:color w:val="000000"/>
          <w:sz w:val="24"/>
        </w:rPr>
        <w:t>52</w:t>
      </w:r>
      <w:r>
        <w:rPr>
          <w:rFonts w:ascii="宋体" w:hAnsi="宋体" w:eastAsia="宋体" w:cs="宋体"/>
          <w:b/>
          <w:color w:val="000000"/>
          <w:sz w:val="24"/>
        </w:rPr>
        <w:t>分）</w:t>
      </w:r>
    </w:p>
    <w:p w14:paraId="20A504AE">
      <w:pPr>
        <w:spacing w:line="360" w:lineRule="auto"/>
        <w:jc w:val="left"/>
        <w:textAlignment w:val="center"/>
        <w:rPr>
          <w:color w:val="000000"/>
        </w:rPr>
      </w:pPr>
      <w:r>
        <w:rPr>
          <w:color w:val="000000"/>
        </w:rPr>
        <w:t xml:space="preserve">17. </w:t>
      </w:r>
      <w:r>
        <w:rPr>
          <w:rFonts w:ascii="宋体" w:hAnsi="宋体" w:eastAsia="宋体" w:cs="宋体"/>
          <w:color w:val="000000"/>
        </w:rPr>
        <w:t>阅读图文材料，完成下列要求。</w:t>
      </w:r>
    </w:p>
    <w:p w14:paraId="3F78909F">
      <w:pPr>
        <w:spacing w:line="360" w:lineRule="auto"/>
        <w:ind w:firstLine="420"/>
        <w:jc w:val="left"/>
        <w:textAlignment w:val="center"/>
        <w:rPr>
          <w:color w:val="000000"/>
        </w:rPr>
      </w:pPr>
      <w:r>
        <w:rPr>
          <w:rFonts w:ascii="楷体" w:hAnsi="楷体" w:eastAsia="楷体" w:cs="楷体"/>
          <w:color w:val="000000"/>
        </w:rPr>
        <w:t>潘帕斯平原是一种比较独特的草原类型——“没有树木的大草原”，西部从海拔</w:t>
      </w:r>
      <w:r>
        <w:rPr>
          <w:rFonts w:ascii="Times New Roman" w:hAnsi="Times New Roman" w:eastAsia="Times New Roman" w:cs="Times New Roman"/>
          <w:color w:val="000000"/>
        </w:rPr>
        <w:t>200</w:t>
      </w:r>
      <w:r>
        <w:rPr>
          <w:rFonts w:ascii="楷体" w:hAnsi="楷体" w:eastAsia="楷体" w:cs="楷体"/>
          <w:color w:val="000000"/>
        </w:rPr>
        <w:t>米起，向西延伸至安第斯山麓，称“干潘帕”；东部海拔仅</w:t>
      </w:r>
      <w:r>
        <w:rPr>
          <w:rFonts w:ascii="Times New Roman" w:hAnsi="Times New Roman" w:eastAsia="Times New Roman" w:cs="Times New Roman"/>
          <w:color w:val="000000"/>
        </w:rPr>
        <w:t>20</w:t>
      </w:r>
      <w:r>
        <w:rPr>
          <w:rFonts w:ascii="楷体" w:hAnsi="楷体" w:eastAsia="楷体" w:cs="楷体"/>
          <w:color w:val="000000"/>
        </w:rPr>
        <w:t>米左右，称“湿润潘帕”，分布有表面红色下面黑色的“红化黑土”。安第斯山一直处于上升阶段，潘帕斯平原一直处于下降状态，受此影响，潘帕斯平原水平沉积物具有明显的沉积规律。下图示意潘帕斯平原位置。</w:t>
      </w:r>
    </w:p>
    <w:p w14:paraId="4D828AB0">
      <w:pPr>
        <w:spacing w:line="360" w:lineRule="auto"/>
        <w:jc w:val="left"/>
        <w:textAlignment w:val="center"/>
        <w:rPr>
          <w:color w:val="000000"/>
        </w:rPr>
      </w:pPr>
      <w:r>
        <w:rPr>
          <w:color w:val="000000"/>
        </w:rPr>
        <w:drawing>
          <wp:inline distT="0" distB="0" distL="114300" distR="114300">
            <wp:extent cx="2514600" cy="17526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2514600" cy="1752600"/>
                    </a:xfrm>
                    <a:prstGeom prst="rect">
                      <a:avLst/>
                    </a:prstGeom>
                  </pic:spPr>
                </pic:pic>
              </a:graphicData>
            </a:graphic>
          </wp:inline>
        </w:drawing>
      </w:r>
    </w:p>
    <w:p w14:paraId="182580EB">
      <w:pPr>
        <w:spacing w:line="360" w:lineRule="auto"/>
        <w:jc w:val="left"/>
        <w:textAlignment w:val="center"/>
        <w:rPr>
          <w:color w:val="000000"/>
        </w:rPr>
      </w:pPr>
      <w:r>
        <w:rPr>
          <w:color w:val="000000"/>
        </w:rPr>
        <w:t>（1）</w:t>
      </w:r>
      <w:r>
        <w:rPr>
          <w:rFonts w:ascii="宋体" w:hAnsi="宋体" w:eastAsia="宋体" w:cs="宋体"/>
          <w:color w:val="000000"/>
        </w:rPr>
        <w:t>简述潘帕斯平原</w:t>
      </w:r>
      <w:r>
        <w:rPr>
          <w:rFonts w:ascii="宋体" w:hAnsi="宋体" w:eastAsia="宋体" w:cs="宋体"/>
          <w:color w:val="000000"/>
          <w:position w:val="0"/>
        </w:rPr>
        <w:drawing>
          <wp:inline distT="0" distB="0" distL="114300" distR="114300">
            <wp:extent cx="133350" cy="177800"/>
            <wp:effectExtent l="0" t="0" r="0" b="13335"/>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1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地形特征。</w:t>
      </w:r>
    </w:p>
    <w:p w14:paraId="5C62D956">
      <w:pPr>
        <w:spacing w:line="360" w:lineRule="auto"/>
        <w:jc w:val="left"/>
        <w:textAlignment w:val="center"/>
        <w:rPr>
          <w:color w:val="000000"/>
        </w:rPr>
      </w:pPr>
      <w:r>
        <w:rPr>
          <w:color w:val="000000"/>
        </w:rPr>
        <w:t>（2）</w:t>
      </w:r>
      <w:r>
        <w:rPr>
          <w:rFonts w:ascii="宋体" w:hAnsi="宋体" w:eastAsia="宋体" w:cs="宋体"/>
          <w:color w:val="000000"/>
        </w:rPr>
        <w:t>从气候角度推测潘帕斯平原成为“没有树木的大草原”的原因。</w:t>
      </w:r>
    </w:p>
    <w:p w14:paraId="2469014C">
      <w:pPr>
        <w:spacing w:line="360" w:lineRule="auto"/>
        <w:jc w:val="left"/>
        <w:textAlignment w:val="center"/>
        <w:rPr>
          <w:color w:val="000000"/>
        </w:rPr>
      </w:pPr>
      <w:r>
        <w:rPr>
          <w:color w:val="000000"/>
        </w:rPr>
        <w:t>（3）</w:t>
      </w:r>
      <w:r>
        <w:rPr>
          <w:rFonts w:ascii="宋体" w:hAnsi="宋体" w:eastAsia="宋体" w:cs="宋体"/>
          <w:color w:val="000000"/>
        </w:rPr>
        <w:t>根据该地区地质变动状况，分析潘帕斯平原的水平沉积规律。</w:t>
      </w:r>
    </w:p>
    <w:p w14:paraId="05D099A7">
      <w:pPr>
        <w:spacing w:line="360" w:lineRule="auto"/>
        <w:jc w:val="left"/>
        <w:textAlignment w:val="center"/>
        <w:rPr>
          <w:color w:val="000000"/>
        </w:rPr>
      </w:pPr>
      <w:r>
        <w:rPr>
          <w:color w:val="000000"/>
        </w:rPr>
        <w:t xml:space="preserve">18. </w:t>
      </w:r>
      <w:r>
        <w:rPr>
          <w:rFonts w:ascii="宋体" w:hAnsi="宋体" w:eastAsia="宋体" w:cs="宋体"/>
          <w:color w:val="000000"/>
        </w:rPr>
        <w:t>阅读图文材料，完成下列要求。</w:t>
      </w:r>
    </w:p>
    <w:p w14:paraId="0A3B89D8">
      <w:pPr>
        <w:spacing w:line="360" w:lineRule="auto"/>
        <w:ind w:firstLine="420"/>
        <w:jc w:val="left"/>
        <w:textAlignment w:val="center"/>
        <w:rPr>
          <w:color w:val="000000"/>
        </w:rPr>
      </w:pPr>
      <w:r>
        <w:rPr>
          <w:rFonts w:ascii="楷体" w:hAnsi="楷体" w:eastAsia="楷体" w:cs="楷体"/>
          <w:color w:val="000000"/>
        </w:rPr>
        <w:t>夜间经济是以服务业为主体的城市经济的延伸，通常指从当日</w:t>
      </w:r>
      <w:r>
        <w:rPr>
          <w:rFonts w:ascii="Times New Roman" w:hAnsi="Times New Roman" w:eastAsia="Times New Roman" w:cs="Times New Roman"/>
          <w:color w:val="000000"/>
        </w:rPr>
        <w:t>18</w:t>
      </w:r>
      <w:r>
        <w:rPr>
          <w:rFonts w:ascii="宋体" w:hAnsi="宋体" w:eastAsia="宋体" w:cs="宋体"/>
          <w:color w:val="000000"/>
        </w:rPr>
        <w:t>：</w:t>
      </w:r>
      <w:r>
        <w:rPr>
          <w:rFonts w:ascii="Times New Roman" w:hAnsi="Times New Roman" w:eastAsia="Times New Roman" w:cs="Times New Roman"/>
          <w:color w:val="000000"/>
        </w:rPr>
        <w:t>00</w:t>
      </w:r>
      <w:r>
        <w:rPr>
          <w:rFonts w:ascii="楷体" w:hAnsi="楷体" w:eastAsia="楷体" w:cs="楷体"/>
          <w:color w:val="000000"/>
        </w:rPr>
        <w:t>至次日</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color w:val="000000"/>
        </w:rPr>
        <w:t>00</w:t>
      </w:r>
      <w:r>
        <w:rPr>
          <w:rFonts w:ascii="楷体" w:hAnsi="楷体" w:eastAsia="楷体" w:cs="楷体"/>
          <w:color w:val="000000"/>
        </w:rPr>
        <w:t>所发生的集购物娱乐、休闲餐饮、旅游体验等活动于一体的现代消费经济。天津市是环渤海地区的经济中心，自</w:t>
      </w:r>
      <w:r>
        <w:rPr>
          <w:rFonts w:ascii="Times New Roman" w:hAnsi="Times New Roman" w:eastAsia="Times New Roman" w:cs="Times New Roman"/>
          <w:color w:val="000000"/>
        </w:rPr>
        <w:t>2018</w:t>
      </w:r>
      <w:r>
        <w:rPr>
          <w:rFonts w:ascii="楷体" w:hAnsi="楷体" w:eastAsia="楷体" w:cs="楷体"/>
          <w:color w:val="000000"/>
        </w:rPr>
        <w:t>年开始大力发展夜间经济，目前已建成多个市级和区级夜间经济示范街区，在加快</w:t>
      </w:r>
      <w:r>
        <w:rPr>
          <w:rFonts w:ascii="Times New Roman" w:hAnsi="Times New Roman" w:eastAsia="Times New Roman" w:cs="Times New Roman"/>
          <w:color w:val="000000"/>
        </w:rPr>
        <w:t>24h</w:t>
      </w:r>
      <w:r>
        <w:rPr>
          <w:rFonts w:ascii="楷体" w:hAnsi="楷体" w:eastAsia="楷体" w:cs="楷体"/>
          <w:color w:val="000000"/>
        </w:rPr>
        <w:t>深夜经济布局的同时，开拓了多元化的夜间消费市场。下图示意天津市中心城区夜间经济业态总体核密度。</w:t>
      </w:r>
    </w:p>
    <w:p w14:paraId="77B63F96">
      <w:pPr>
        <w:spacing w:line="360" w:lineRule="auto"/>
        <w:jc w:val="left"/>
        <w:textAlignment w:val="center"/>
        <w:rPr>
          <w:color w:val="000000"/>
        </w:rPr>
      </w:pPr>
      <w:r>
        <w:rPr>
          <w:color w:val="000000"/>
        </w:rPr>
        <w:drawing>
          <wp:inline distT="0" distB="0" distL="114300" distR="114300">
            <wp:extent cx="2419350" cy="194310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2419350" cy="1943100"/>
                    </a:xfrm>
                    <a:prstGeom prst="rect">
                      <a:avLst/>
                    </a:prstGeom>
                  </pic:spPr>
                </pic:pic>
              </a:graphicData>
            </a:graphic>
          </wp:inline>
        </w:drawing>
      </w:r>
    </w:p>
    <w:p w14:paraId="5B5BD030">
      <w:pPr>
        <w:spacing w:line="360" w:lineRule="auto"/>
        <w:jc w:val="left"/>
        <w:textAlignment w:val="center"/>
        <w:rPr>
          <w:color w:val="000000"/>
        </w:rPr>
      </w:pPr>
      <w:r>
        <w:rPr>
          <w:color w:val="000000"/>
        </w:rPr>
        <w:t>（1）</w:t>
      </w:r>
      <w:r>
        <w:rPr>
          <w:rFonts w:ascii="宋体" w:hAnsi="宋体" w:eastAsia="宋体" w:cs="宋体"/>
          <w:color w:val="000000"/>
        </w:rPr>
        <w:t>据图推测天津市中心城区夜间经济的空间分布特征。</w:t>
      </w:r>
    </w:p>
    <w:p w14:paraId="5FBA72AC">
      <w:pPr>
        <w:spacing w:line="360" w:lineRule="auto"/>
        <w:jc w:val="left"/>
        <w:textAlignment w:val="center"/>
        <w:rPr>
          <w:color w:val="000000"/>
        </w:rPr>
      </w:pPr>
      <w:r>
        <w:rPr>
          <w:color w:val="000000"/>
        </w:rPr>
        <w:t>（2）</w:t>
      </w:r>
      <w:r>
        <w:rPr>
          <w:rFonts w:ascii="宋体" w:hAnsi="宋体" w:eastAsia="宋体" w:cs="宋体"/>
          <w:color w:val="000000"/>
        </w:rPr>
        <w:t>推测形成图中夜间经济业态核密度差异的驱动因素。</w:t>
      </w:r>
    </w:p>
    <w:p w14:paraId="38EDFADE">
      <w:pPr>
        <w:spacing w:line="360" w:lineRule="auto"/>
        <w:jc w:val="left"/>
        <w:textAlignment w:val="center"/>
        <w:rPr>
          <w:color w:val="000000"/>
        </w:rPr>
      </w:pPr>
      <w:r>
        <w:rPr>
          <w:color w:val="000000"/>
        </w:rPr>
        <w:t>（3）</w:t>
      </w:r>
      <w:r>
        <w:rPr>
          <w:rFonts w:ascii="宋体" w:hAnsi="宋体" w:eastAsia="宋体" w:cs="宋体"/>
          <w:color w:val="000000"/>
        </w:rPr>
        <w:t>请为推动天津市夜间经济的高质量发展提出合理建议。</w:t>
      </w:r>
    </w:p>
    <w:p w14:paraId="08C17229">
      <w:pPr>
        <w:spacing w:line="360" w:lineRule="auto"/>
        <w:jc w:val="left"/>
        <w:textAlignment w:val="center"/>
        <w:rPr>
          <w:color w:val="000000"/>
        </w:rPr>
      </w:pPr>
      <w:r>
        <w:rPr>
          <w:color w:val="000000"/>
        </w:rPr>
        <w:t xml:space="preserve">19. </w:t>
      </w:r>
      <w:r>
        <w:rPr>
          <w:rFonts w:ascii="宋体" w:hAnsi="宋体" w:eastAsia="宋体" w:cs="宋体"/>
          <w:color w:val="000000"/>
        </w:rPr>
        <w:t>阅读图文材料，完成下列要求。</w:t>
      </w:r>
    </w:p>
    <w:p w14:paraId="716A4D2A">
      <w:pPr>
        <w:spacing w:line="360" w:lineRule="auto"/>
        <w:ind w:firstLine="420"/>
        <w:jc w:val="left"/>
        <w:textAlignment w:val="center"/>
        <w:rPr>
          <w:color w:val="000000"/>
        </w:rPr>
      </w:pPr>
      <w:r>
        <w:rPr>
          <w:rFonts w:ascii="楷体" w:hAnsi="楷体" w:eastAsia="楷体" w:cs="楷体"/>
          <w:color w:val="000000"/>
        </w:rPr>
        <w:t>在侏罗纪干旱期，墨西哥湾沿岸形成了约</w:t>
      </w:r>
      <w:r>
        <w:rPr>
          <w:rFonts w:ascii="Times New Roman" w:hAnsi="Times New Roman" w:eastAsia="Times New Roman" w:cs="Times New Roman"/>
          <w:color w:val="000000"/>
        </w:rPr>
        <w:t>100</w:t>
      </w:r>
      <w:r>
        <w:rPr>
          <w:rFonts w:ascii="楷体" w:hAnsi="楷体" w:eastAsia="楷体" w:cs="楷体"/>
          <w:color w:val="000000"/>
        </w:rPr>
        <w:t>米厚的盐层。与一般岩石相比，盐层密度小，高压下易产生塑性流动。经过地质作用，盐层中形成了数量众多的盐丘。盐丘内部与石油原始赋存环境接近。在盐在中通过水溶形成空洞用于储存石油，被称为盐穴储油。墨西哥演沿岸分布着美国重要的战略石油健备基地和石化产业集聚区，美国</w:t>
      </w:r>
      <w:r>
        <w:rPr>
          <w:rFonts w:ascii="Times New Roman" w:hAnsi="Times New Roman" w:eastAsia="Times New Roman" w:cs="Times New Roman"/>
          <w:color w:val="000000"/>
        </w:rPr>
        <w:t>90%</w:t>
      </w:r>
      <w:r>
        <w:rPr>
          <w:rFonts w:ascii="楷体" w:hAnsi="楷体" w:eastAsia="楷体" w:cs="楷体"/>
          <w:color w:val="000000"/>
        </w:rPr>
        <w:t>以上的石油储务分布在这里的</w:t>
      </w:r>
      <w:r>
        <w:rPr>
          <w:rFonts w:ascii="Times New Roman" w:hAnsi="Times New Roman" w:eastAsia="Times New Roman" w:cs="Times New Roman"/>
          <w:color w:val="000000"/>
        </w:rPr>
        <w:t>60</w:t>
      </w:r>
      <w:r>
        <w:rPr>
          <w:rFonts w:ascii="楷体" w:hAnsi="楷体" w:eastAsia="楷体" w:cs="楷体"/>
          <w:color w:val="000000"/>
        </w:rPr>
        <w:t>个地下盐穴中，可为美国提供</w:t>
      </w:r>
      <w:r>
        <w:rPr>
          <w:rFonts w:ascii="Times New Roman" w:hAnsi="Times New Roman" w:eastAsia="Times New Roman" w:cs="Times New Roman"/>
          <w:color w:val="000000"/>
        </w:rPr>
        <w:t>90</w:t>
      </w:r>
      <w:r>
        <w:rPr>
          <w:rFonts w:ascii="楷体" w:hAnsi="楷体" w:eastAsia="楷体" w:cs="楷体"/>
          <w:color w:val="000000"/>
        </w:rPr>
        <w:t>天以上的石油供给。左图为墨西哥湾周边地区示意图，右图为盐丘</w:t>
      </w:r>
      <w:r>
        <w:rPr>
          <w:rFonts w:ascii="Times New Roman" w:hAnsi="Times New Roman" w:eastAsia="Times New Roman" w:cs="Times New Roman"/>
          <w:color w:val="000000"/>
        </w:rPr>
        <w:t>①</w:t>
      </w:r>
      <w:r>
        <w:rPr>
          <w:rFonts w:ascii="楷体" w:hAnsi="楷体" w:eastAsia="楷体" w:cs="楷体"/>
          <w:color w:val="000000"/>
        </w:rPr>
        <w:t>地层剖面图。</w:t>
      </w:r>
    </w:p>
    <w:p w14:paraId="0F8F3054">
      <w:pPr>
        <w:spacing w:line="360" w:lineRule="auto"/>
        <w:jc w:val="left"/>
        <w:textAlignment w:val="center"/>
        <w:rPr>
          <w:color w:val="000000"/>
        </w:rPr>
      </w:pPr>
      <w:r>
        <w:rPr>
          <w:color w:val="000000"/>
        </w:rPr>
        <w:drawing>
          <wp:inline distT="0" distB="0" distL="114300" distR="114300">
            <wp:extent cx="3381375" cy="1990725"/>
            <wp:effectExtent l="0" t="0" r="9525" b="952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3381375" cy="1990725"/>
                    </a:xfrm>
                    <a:prstGeom prst="rect">
                      <a:avLst/>
                    </a:prstGeom>
                  </pic:spPr>
                </pic:pic>
              </a:graphicData>
            </a:graphic>
          </wp:inline>
        </w:drawing>
      </w:r>
      <w:r>
        <w:rPr>
          <w:color w:val="000000"/>
        </w:rPr>
        <w:drawing>
          <wp:inline distT="0" distB="0" distL="114300" distR="114300">
            <wp:extent cx="2676525" cy="191452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2676525" cy="1914525"/>
                    </a:xfrm>
                    <a:prstGeom prst="rect">
                      <a:avLst/>
                    </a:prstGeom>
                  </pic:spPr>
                </pic:pic>
              </a:graphicData>
            </a:graphic>
          </wp:inline>
        </w:drawing>
      </w:r>
    </w:p>
    <w:p w14:paraId="16398F04">
      <w:pPr>
        <w:spacing w:line="360" w:lineRule="auto"/>
        <w:jc w:val="left"/>
        <w:textAlignment w:val="center"/>
        <w:rPr>
          <w:color w:val="000000"/>
        </w:rPr>
      </w:pPr>
      <w:r>
        <w:rPr>
          <w:color w:val="000000"/>
        </w:rPr>
        <w:t>（1）</w:t>
      </w:r>
      <w:r>
        <w:rPr>
          <w:rFonts w:ascii="宋体" w:hAnsi="宋体" w:eastAsia="宋体" w:cs="宋体"/>
          <w:color w:val="000000"/>
        </w:rPr>
        <w:t>说出与地上油罐相比，地下盐穴储油的优缺点。</w:t>
      </w:r>
    </w:p>
    <w:p w14:paraId="23392477">
      <w:pPr>
        <w:spacing w:line="360" w:lineRule="auto"/>
        <w:jc w:val="left"/>
        <w:textAlignment w:val="center"/>
        <w:rPr>
          <w:color w:val="000000"/>
        </w:rPr>
      </w:pPr>
      <w:r>
        <w:rPr>
          <w:color w:val="000000"/>
        </w:rPr>
        <w:t>（2）</w:t>
      </w:r>
      <w:r>
        <w:rPr>
          <w:rFonts w:ascii="宋体" w:hAnsi="宋体" w:eastAsia="宋体" w:cs="宋体"/>
          <w:color w:val="000000"/>
        </w:rPr>
        <w:t>分析墨西哥湾沿岸成为美国战略石油储备基地的有利条件。</w:t>
      </w:r>
    </w:p>
    <w:p w14:paraId="459FB89B">
      <w:pPr>
        <w:spacing w:line="360" w:lineRule="auto"/>
        <w:jc w:val="left"/>
        <w:textAlignment w:val="center"/>
        <w:rPr>
          <w:color w:val="000000"/>
        </w:rPr>
      </w:pPr>
      <w:r>
        <w:rPr>
          <w:color w:val="000000"/>
        </w:rPr>
        <w:t>（3）</w:t>
      </w:r>
      <w:r>
        <w:rPr>
          <w:rFonts w:ascii="宋体" w:hAnsi="宋体" w:eastAsia="宋体" w:cs="宋体"/>
          <w:color w:val="000000"/>
        </w:rPr>
        <w:t>借鉴美国石油储备的经验，为我国能源安全提出合理化建议。</w:t>
      </w:r>
    </w:p>
    <w:p w14:paraId="6D52B8A5">
      <w:pPr>
        <w:spacing w:line="360" w:lineRule="auto"/>
        <w:jc w:val="left"/>
        <w:textAlignment w:val="center"/>
        <w:rPr>
          <w:color w:val="000000"/>
        </w:rPr>
      </w:pPr>
      <w:r>
        <w:rPr>
          <w:color w:val="000000"/>
        </w:rPr>
        <w:t xml:space="preserve">20. </w:t>
      </w:r>
      <w:r>
        <w:rPr>
          <w:rFonts w:ascii="宋体" w:hAnsi="宋体" w:eastAsia="宋体" w:cs="宋体"/>
          <w:color w:val="000000"/>
        </w:rPr>
        <w:t>阅读图文材料，完成下列要求。</w:t>
      </w:r>
    </w:p>
    <w:p w14:paraId="44D97B8D">
      <w:pPr>
        <w:spacing w:line="360" w:lineRule="auto"/>
        <w:ind w:firstLine="420"/>
        <w:jc w:val="left"/>
        <w:textAlignment w:val="center"/>
        <w:rPr>
          <w:color w:val="000000"/>
        </w:rPr>
      </w:pPr>
      <w:r>
        <w:rPr>
          <w:rFonts w:ascii="楷体" w:hAnsi="楷体" w:eastAsia="楷体" w:cs="楷体"/>
          <w:color w:val="000000"/>
        </w:rPr>
        <w:t>藏中地区（如图所示）是西藏人口最集中、经济最繁荣的地区，已经竣工的藏中联网工程，可有效解决该地区缺电问题。相对于水电建设，联网工程建设周期短。工程线路建设中，某些路段采用高跨越、绕行等方式，海拔平均提升</w:t>
      </w:r>
      <w:r>
        <w:rPr>
          <w:rFonts w:ascii="Times New Roman" w:hAnsi="Times New Roman" w:eastAsia="Times New Roman" w:cs="Times New Roman"/>
          <w:color w:val="000000"/>
        </w:rPr>
        <w:t>800</w:t>
      </w:r>
      <w:r>
        <w:rPr>
          <w:rFonts w:ascii="楷体" w:hAnsi="楷体" w:eastAsia="楷体" w:cs="楷体"/>
          <w:color w:val="000000"/>
        </w:rPr>
        <w:t>～</w:t>
      </w:r>
      <w:r>
        <w:rPr>
          <w:rFonts w:ascii="Times New Roman" w:hAnsi="Times New Roman" w:eastAsia="Times New Roman" w:cs="Times New Roman"/>
          <w:color w:val="000000"/>
        </w:rPr>
        <w:t>1000</w:t>
      </w:r>
      <w:r>
        <w:rPr>
          <w:rFonts w:ascii="楷体" w:hAnsi="楷体" w:eastAsia="楷体" w:cs="楷体"/>
          <w:color w:val="000000"/>
        </w:rPr>
        <w:t>米，线路长度增加几十米，工程难度显著加大。</w:t>
      </w:r>
    </w:p>
    <w:p w14:paraId="1555491F">
      <w:pPr>
        <w:spacing w:line="360" w:lineRule="auto"/>
        <w:jc w:val="left"/>
        <w:textAlignment w:val="center"/>
        <w:rPr>
          <w:color w:val="000000"/>
        </w:rPr>
      </w:pPr>
      <w:r>
        <w:rPr>
          <w:color w:val="000000"/>
        </w:rPr>
        <w:drawing>
          <wp:inline distT="0" distB="0" distL="114300" distR="114300">
            <wp:extent cx="3086100" cy="26289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3086100" cy="2628900"/>
                    </a:xfrm>
                    <a:prstGeom prst="rect">
                      <a:avLst/>
                    </a:prstGeom>
                  </pic:spPr>
                </pic:pic>
              </a:graphicData>
            </a:graphic>
          </wp:inline>
        </w:drawing>
      </w:r>
    </w:p>
    <w:p w14:paraId="16812686">
      <w:pPr>
        <w:spacing w:line="360" w:lineRule="auto"/>
        <w:jc w:val="left"/>
        <w:textAlignment w:val="center"/>
        <w:rPr>
          <w:color w:val="000000"/>
        </w:rPr>
      </w:pPr>
      <w:r>
        <w:rPr>
          <w:color w:val="000000"/>
        </w:rPr>
        <w:t>（1）</w:t>
      </w:r>
      <w:r>
        <w:rPr>
          <w:rFonts w:ascii="宋体" w:hAnsi="宋体" w:eastAsia="宋体" w:cs="宋体"/>
          <w:color w:val="000000"/>
        </w:rPr>
        <w:t>藏中地区水能资源丰富，却面临缺电问题，试分析原因。</w:t>
      </w:r>
    </w:p>
    <w:p w14:paraId="0817AAAE">
      <w:pPr>
        <w:spacing w:line="360" w:lineRule="auto"/>
        <w:jc w:val="left"/>
        <w:textAlignment w:val="center"/>
        <w:rPr>
          <w:color w:val="000000"/>
        </w:rPr>
      </w:pPr>
      <w:r>
        <w:rPr>
          <w:color w:val="000000"/>
        </w:rPr>
        <w:t>（2）</w:t>
      </w:r>
      <w:r>
        <w:rPr>
          <w:rFonts w:ascii="宋体" w:hAnsi="宋体" w:eastAsia="宋体" w:cs="宋体"/>
          <w:color w:val="000000"/>
        </w:rPr>
        <w:t>输电线选线一般应减少建设长度，而藏中联网工程却延长了建设长度。分析这样做的目的。</w:t>
      </w:r>
    </w:p>
    <w:sectPr>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U5NDhmZWJhNWNkY2VlZDY1MDE2OWI5YjY3MzQzNWU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514D03C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Char"/>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wmf"/><Relationship Id="rId6" Type="http://schemas.openxmlformats.org/officeDocument/2006/relationships/image" Target="media/image3.wmf"/><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wmf"/><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Pages>6</Pages>
  <Words>3144</Words>
  <Characters>3385</Characters>
  <TotalTime>0</TotalTime>
  <ScaleCrop>false</ScaleCrop>
  <LinksUpToDate>false</LinksUpToDate>
  <CharactersWithSpaces>3562</CharactersWithSpaces>
  <Application>WPS Office_12.1.0.18608_F1E327BC-269C-435d-A152-05C5408002CA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2024-11-06T08:11:43Z</dcterms:created>
  <dcterms:modified xsi:type="dcterms:W3CDTF">2024-11-06T08:12:57Z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C7204D3BC1354552B8D508DAB9086843_12</vt:lpwstr>
  </property>
</Properties>
</file>