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118856">
      <w:pPr>
        <w:spacing w:line="285" w:lineRule="auto"/>
        <w:jc w:val="center"/>
      </w:pPr>
      <w:bookmarkStart w:id="0" w:name="_GoBack"/>
      <w:bookmarkEnd w:id="0"/>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10325100</wp:posOffset>
            </wp:positionH>
            <wp:positionV relativeFrom="topMargin">
              <wp:posOffset>10375900</wp:posOffset>
            </wp:positionV>
            <wp:extent cx="393700" cy="419100"/>
            <wp:effectExtent l="0" t="0" r="6350" b="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4"/>
                    <a:stretch>
                      <a:fillRect/>
                    </a:stretch>
                  </pic:blipFill>
                  <pic:spPr>
                    <a:xfrm>
                      <a:off x="0" y="0"/>
                      <a:ext cx="393700" cy="419100"/>
                    </a:xfrm>
                    <a:prstGeom prst="rect">
                      <a:avLst/>
                    </a:prstGeom>
                  </pic:spPr>
                </pic:pic>
              </a:graphicData>
            </a:graphic>
          </wp:anchor>
        </w:drawing>
      </w:r>
      <w:r>
        <w:rPr>
          <w:rFonts w:ascii="宋体" w:hAnsi="宋体" w:eastAsia="宋体" w:cs="宋体"/>
          <w:b/>
          <w:color w:val="auto"/>
          <w:sz w:val="32"/>
        </w:rPr>
        <w:t>长郡中学</w:t>
      </w:r>
      <w:r>
        <w:rPr>
          <w:rFonts w:ascii="Times New Roman" w:hAnsi="Times New Roman" w:eastAsia="Times New Roman" w:cs="Times New Roman"/>
          <w:b/>
          <w:color w:val="auto"/>
          <w:sz w:val="32"/>
        </w:rPr>
        <w:t>2025</w:t>
      </w:r>
      <w:r>
        <w:rPr>
          <w:rFonts w:ascii="宋体" w:hAnsi="宋体" w:eastAsia="宋体" w:cs="宋体"/>
          <w:b/>
          <w:color w:val="auto"/>
          <w:sz w:val="32"/>
        </w:rPr>
        <w:t>届高三月考试卷（三）</w:t>
      </w:r>
    </w:p>
    <w:p w14:paraId="7CB89A1F">
      <w:pPr>
        <w:spacing w:line="285" w:lineRule="auto"/>
        <w:jc w:val="center"/>
      </w:pPr>
      <w:r>
        <w:rPr>
          <w:rFonts w:ascii="宋体" w:hAnsi="宋体" w:eastAsia="宋体" w:cs="宋体"/>
          <w:b/>
          <w:color w:val="auto"/>
          <w:sz w:val="32"/>
        </w:rPr>
        <w:t>地理</w:t>
      </w:r>
    </w:p>
    <w:p w14:paraId="34FE61F0">
      <w:pPr>
        <w:spacing w:line="285" w:lineRule="auto"/>
        <w:jc w:val="center"/>
      </w:pPr>
      <w:r>
        <w:rPr>
          <w:rFonts w:ascii="宋体" w:hAnsi="宋体" w:eastAsia="宋体" w:cs="宋体"/>
          <w:b/>
          <w:color w:val="auto"/>
          <w:sz w:val="24"/>
        </w:rPr>
        <w:t>本试题卷分选择题和非选择题两部分，共</w:t>
      </w:r>
      <w:r>
        <w:rPr>
          <w:rFonts w:ascii="Times New Roman" w:hAnsi="Times New Roman" w:eastAsia="Times New Roman" w:cs="Times New Roman"/>
          <w:b/>
          <w:color w:val="auto"/>
          <w:sz w:val="24"/>
        </w:rPr>
        <w:t>8</w:t>
      </w:r>
      <w:r>
        <w:rPr>
          <w:rFonts w:ascii="宋体" w:hAnsi="宋体" w:eastAsia="宋体" w:cs="宋体"/>
          <w:b/>
          <w:color w:val="auto"/>
          <w:sz w:val="24"/>
        </w:rPr>
        <w:t>页。时量</w:t>
      </w:r>
      <w:r>
        <w:rPr>
          <w:rFonts w:ascii="Times New Roman" w:hAnsi="Times New Roman" w:eastAsia="Times New Roman" w:cs="Times New Roman"/>
          <w:b/>
          <w:color w:val="auto"/>
          <w:sz w:val="24"/>
        </w:rPr>
        <w:t>75</w:t>
      </w:r>
      <w:r>
        <w:rPr>
          <w:rFonts w:ascii="宋体" w:hAnsi="宋体" w:eastAsia="宋体" w:cs="宋体"/>
          <w:b/>
          <w:color w:val="auto"/>
          <w:sz w:val="24"/>
        </w:rPr>
        <w:t>分钟，满分</w:t>
      </w:r>
      <w:r>
        <w:rPr>
          <w:rFonts w:ascii="Times New Roman" w:hAnsi="Times New Roman" w:eastAsia="Times New Roman" w:cs="Times New Roman"/>
          <w:b/>
          <w:color w:val="auto"/>
          <w:sz w:val="24"/>
        </w:rPr>
        <w:t>100</w:t>
      </w:r>
      <w:r>
        <w:rPr>
          <w:rFonts w:ascii="宋体" w:hAnsi="宋体" w:eastAsia="宋体" w:cs="宋体"/>
          <w:b/>
          <w:color w:val="auto"/>
          <w:sz w:val="24"/>
        </w:rPr>
        <w:t>分</w:t>
      </w:r>
    </w:p>
    <w:p w14:paraId="21F2FA1A">
      <w:pPr>
        <w:spacing w:line="285" w:lineRule="auto"/>
        <w:jc w:val="left"/>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16</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分。在每小题给出的四个选项中，只有一项是符合题目要求的）</w:t>
      </w:r>
    </w:p>
    <w:p w14:paraId="2BEE67F7">
      <w:pPr>
        <w:spacing w:line="360" w:lineRule="auto"/>
        <w:ind w:firstLine="420"/>
        <w:jc w:val="left"/>
      </w:pPr>
      <w:r>
        <w:rPr>
          <w:rFonts w:ascii="楷体" w:hAnsi="楷体" w:eastAsia="楷体" w:cs="楷体"/>
          <w:color w:val="auto"/>
        </w:rPr>
        <w:t>人口向城市中心集聚称之为向心化；人口向郊区扩散称之为离心化。城区人口密度的变化是人口向心化和离心化的主要标志。城市化起步时间、城市自身规模等都是影响向心化或离心化的因素。下图为</w:t>
      </w:r>
      <w:r>
        <w:rPr>
          <w:rFonts w:ascii="Times New Roman" w:hAnsi="Times New Roman" w:eastAsia="Times New Roman" w:cs="Times New Roman"/>
          <w:color w:val="auto"/>
        </w:rPr>
        <w:t>2000~2020</w:t>
      </w:r>
      <w:r>
        <w:rPr>
          <w:rFonts w:ascii="楷体" w:hAnsi="楷体" w:eastAsia="楷体" w:cs="楷体"/>
          <w:color w:val="auto"/>
        </w:rPr>
        <w:t>年中国各城市人口密度分布的演进趋势图。据此完成下面小题。</w:t>
      </w:r>
    </w:p>
    <w:p w14:paraId="54390548">
      <w:pPr>
        <w:spacing w:line="360" w:lineRule="auto"/>
        <w:jc w:val="left"/>
      </w:pPr>
      <w:r>
        <w:drawing>
          <wp:inline distT="0" distB="0" distL="114300" distR="114300">
            <wp:extent cx="3086100" cy="233362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3086100" cy="2333625"/>
                    </a:xfrm>
                    <a:prstGeom prst="rect">
                      <a:avLst/>
                    </a:prstGeom>
                  </pic:spPr>
                </pic:pic>
              </a:graphicData>
            </a:graphic>
          </wp:inline>
        </w:drawing>
      </w:r>
    </w:p>
    <w:p w14:paraId="2FE0E041">
      <w:pPr>
        <w:spacing w:line="360" w:lineRule="auto"/>
        <w:jc w:val="left"/>
      </w:pPr>
      <w:r>
        <w:rPr>
          <w:color w:val="auto"/>
        </w:rPr>
        <w:t xml:space="preserve">1. </w:t>
      </w:r>
      <w:r>
        <w:rPr>
          <w:rFonts w:ascii="宋体" w:hAnsi="宋体" w:eastAsia="宋体" w:cs="宋体"/>
          <w:color w:val="auto"/>
        </w:rPr>
        <w:t>下列关于城市向心化或离心化的描述，正确的是（</w:t>
      </w:r>
      <w:r>
        <w:rPr>
          <w:rFonts w:ascii="Times New Roman" w:hAnsi="Times New Roman" w:eastAsia="Times New Roman" w:cs="Times New Roman"/>
          <w:color w:val="auto"/>
        </w:rPr>
        <w:t xml:space="preserve">   </w:t>
      </w:r>
      <w:r>
        <w:rPr>
          <w:rFonts w:ascii="宋体" w:hAnsi="宋体" w:eastAsia="宋体" w:cs="宋体"/>
          <w:color w:val="auto"/>
        </w:rPr>
        <w:t>）</w:t>
      </w:r>
    </w:p>
    <w:p w14:paraId="1B422207">
      <w:pPr>
        <w:tabs>
          <w:tab w:val="left" w:pos="4873"/>
        </w:tabs>
        <w:spacing w:line="360" w:lineRule="auto"/>
        <w:jc w:val="left"/>
        <w:textAlignment w:val="center"/>
        <w:rPr>
          <w:color w:val="auto"/>
        </w:rPr>
      </w:pPr>
      <w:r>
        <w:t xml:space="preserve">A. </w:t>
      </w:r>
      <w:r>
        <w:rPr>
          <w:rFonts w:ascii="宋体" w:hAnsi="宋体" w:eastAsia="宋体" w:cs="宋体"/>
          <w:color w:val="auto"/>
        </w:rPr>
        <w:t>人口增长率与人口离心化呈负相关</w:t>
      </w:r>
      <w:r>
        <w:tab/>
      </w:r>
      <w:r>
        <w:t xml:space="preserve">B. </w:t>
      </w:r>
      <w:r>
        <w:rPr>
          <w:rFonts w:ascii="宋体" w:hAnsi="宋体" w:eastAsia="宋体" w:cs="宋体"/>
          <w:color w:val="auto"/>
        </w:rPr>
        <w:t>城市常住人口规模扩张离心化上升</w:t>
      </w:r>
    </w:p>
    <w:p w14:paraId="72CE9C26">
      <w:pPr>
        <w:tabs>
          <w:tab w:val="left" w:pos="4873"/>
        </w:tabs>
        <w:spacing w:line="360" w:lineRule="auto"/>
        <w:jc w:val="left"/>
        <w:textAlignment w:val="center"/>
        <w:rPr>
          <w:color w:val="auto"/>
        </w:rPr>
      </w:pPr>
      <w:r>
        <w:t xml:space="preserve">C. </w:t>
      </w:r>
      <w:r>
        <w:rPr>
          <w:rFonts w:ascii="宋体" w:hAnsi="宋体" w:eastAsia="宋体" w:cs="宋体"/>
          <w:color w:val="auto"/>
        </w:rPr>
        <w:t>预测未来的大城市向心化趋势明显</w:t>
      </w:r>
      <w:r>
        <w:tab/>
      </w:r>
      <w:r>
        <w:t xml:space="preserve">D. </w:t>
      </w:r>
      <w:r>
        <w:rPr>
          <w:rFonts w:ascii="宋体" w:hAnsi="宋体" w:eastAsia="宋体" w:cs="宋体"/>
          <w:color w:val="auto"/>
        </w:rPr>
        <w:t>中心城区集聚优质资源加剧离心化</w:t>
      </w:r>
    </w:p>
    <w:p w14:paraId="5E2537BD">
      <w:pPr>
        <w:spacing w:line="360" w:lineRule="auto"/>
        <w:jc w:val="left"/>
      </w:pPr>
      <w:r>
        <w:rPr>
          <w:color w:val="auto"/>
        </w:rPr>
        <w:t xml:space="preserve">2. </w:t>
      </w:r>
      <w:r>
        <w:rPr>
          <w:rFonts w:ascii="宋体" w:hAnsi="宋体" w:eastAsia="宋体" w:cs="宋体"/>
          <w:color w:val="auto"/>
        </w:rPr>
        <w:t>就人口密度分布的演进趋势而言（</w:t>
      </w:r>
      <w:r>
        <w:rPr>
          <w:rFonts w:ascii="Times New Roman" w:hAnsi="Times New Roman" w:eastAsia="Times New Roman" w:cs="Times New Roman"/>
          <w:color w:val="auto"/>
        </w:rPr>
        <w:t xml:space="preserve">   </w:t>
      </w:r>
      <w:r>
        <w:rPr>
          <w:rFonts w:ascii="宋体" w:hAnsi="宋体" w:eastAsia="宋体" w:cs="宋体"/>
          <w:color w:val="auto"/>
        </w:rPr>
        <w:t>）</w:t>
      </w:r>
    </w:p>
    <w:p w14:paraId="77477DB4">
      <w:pPr>
        <w:tabs>
          <w:tab w:val="left" w:pos="4873"/>
        </w:tabs>
        <w:spacing w:line="360" w:lineRule="auto"/>
        <w:jc w:val="left"/>
        <w:textAlignment w:val="center"/>
        <w:rPr>
          <w:color w:val="auto"/>
        </w:rPr>
      </w:pPr>
      <w:r>
        <w:t xml:space="preserve">A. </w:t>
      </w:r>
      <w:r>
        <w:rPr>
          <w:rFonts w:ascii="宋体" w:hAnsi="宋体" w:eastAsia="宋体" w:cs="宋体"/>
          <w:color w:val="auto"/>
        </w:rPr>
        <w:t>离心化趋势明显强于向心化</w:t>
      </w:r>
      <w:r>
        <w:tab/>
      </w:r>
      <w:r>
        <w:t xml:space="preserve">B. </w:t>
      </w:r>
      <w:r>
        <w:rPr>
          <w:rFonts w:ascii="宋体" w:hAnsi="宋体" w:eastAsia="宋体" w:cs="宋体"/>
          <w:color w:val="auto"/>
        </w:rPr>
        <w:t>离心化主要集中在西部地区</w:t>
      </w:r>
    </w:p>
    <w:p w14:paraId="1F35ECBD">
      <w:pPr>
        <w:tabs>
          <w:tab w:val="left" w:pos="4873"/>
        </w:tabs>
        <w:spacing w:line="360" w:lineRule="auto"/>
        <w:jc w:val="left"/>
        <w:textAlignment w:val="center"/>
        <w:rPr>
          <w:color w:val="auto"/>
        </w:rPr>
      </w:pPr>
      <w:r>
        <w:t xml:space="preserve">C. </w:t>
      </w:r>
      <w:r>
        <w:rPr>
          <w:rFonts w:ascii="宋体" w:hAnsi="宋体" w:eastAsia="宋体" w:cs="宋体"/>
          <w:color w:val="auto"/>
        </w:rPr>
        <w:t>向心化主要分布沿海及北方</w:t>
      </w:r>
      <w:r>
        <w:tab/>
      </w:r>
      <w:r>
        <w:t xml:space="preserve">D. </w:t>
      </w:r>
      <w:r>
        <w:rPr>
          <w:rFonts w:ascii="宋体" w:hAnsi="宋体" w:eastAsia="宋体" w:cs="宋体"/>
          <w:color w:val="auto"/>
        </w:rPr>
        <w:t>东北因人口迁入向心化明显</w:t>
      </w:r>
    </w:p>
    <w:p w14:paraId="788FFBFD">
      <w:pPr>
        <w:spacing w:line="360" w:lineRule="auto"/>
        <w:jc w:val="left"/>
      </w:pPr>
      <w:r>
        <w:rPr>
          <w:color w:val="auto"/>
        </w:rPr>
        <w:t xml:space="preserve">3. </w:t>
      </w:r>
      <w:r>
        <w:rPr>
          <w:rFonts w:ascii="宋体" w:hAnsi="宋体" w:eastAsia="宋体" w:cs="宋体"/>
          <w:color w:val="auto"/>
        </w:rPr>
        <w:t>下侧向心化演进模式图中空白方框应填内容为（</w:t>
      </w:r>
      <w:r>
        <w:rPr>
          <w:rFonts w:ascii="Times New Roman" w:hAnsi="Times New Roman" w:eastAsia="Times New Roman" w:cs="Times New Roman"/>
          <w:color w:val="auto"/>
        </w:rPr>
        <w:t xml:space="preserve">   </w:t>
      </w:r>
      <w:r>
        <w:rPr>
          <w:rFonts w:ascii="宋体" w:hAnsi="宋体" w:eastAsia="宋体" w:cs="宋体"/>
          <w:color w:val="auto"/>
        </w:rPr>
        <w:t>）</w:t>
      </w:r>
    </w:p>
    <w:p w14:paraId="72076492">
      <w:pPr>
        <w:spacing w:line="360" w:lineRule="auto"/>
        <w:jc w:val="left"/>
      </w:pPr>
      <w:r>
        <w:drawing>
          <wp:inline distT="0" distB="0" distL="114300" distR="114300">
            <wp:extent cx="1924050" cy="9620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924050" cy="962025"/>
                    </a:xfrm>
                    <a:prstGeom prst="rect">
                      <a:avLst/>
                    </a:prstGeom>
                  </pic:spPr>
                </pic:pic>
              </a:graphicData>
            </a:graphic>
          </wp:inline>
        </w:drawing>
      </w:r>
    </w:p>
    <w:p w14:paraId="138421AB">
      <w:pPr>
        <w:tabs>
          <w:tab w:val="left" w:pos="2436"/>
          <w:tab w:val="left" w:pos="4873"/>
          <w:tab w:val="left" w:pos="7309"/>
        </w:tabs>
        <w:spacing w:line="360" w:lineRule="auto"/>
        <w:jc w:val="left"/>
        <w:textAlignment w:val="center"/>
        <w:rPr>
          <w:color w:val="000000"/>
        </w:rPr>
      </w:pPr>
      <w:r>
        <w:t xml:space="preserve">A. </w:t>
      </w:r>
      <w:r>
        <w:rPr>
          <w:rFonts w:ascii="宋体" w:hAnsi="宋体" w:eastAsia="宋体" w:cs="宋体"/>
          <w:color w:val="auto"/>
        </w:rPr>
        <w:t>对外道路建设</w:t>
      </w:r>
      <w:r>
        <w:tab/>
      </w:r>
      <w:r>
        <w:t xml:space="preserve">B. </w:t>
      </w:r>
      <w:r>
        <w:rPr>
          <w:rFonts w:ascii="宋体" w:hAnsi="宋体" w:eastAsia="宋体" w:cs="宋体"/>
          <w:color w:val="auto"/>
        </w:rPr>
        <w:t>公共交通投入</w:t>
      </w:r>
      <w:r>
        <w:tab/>
      </w:r>
      <w:r>
        <w:t xml:space="preserve">C. </w:t>
      </w:r>
      <w:r>
        <w:rPr>
          <w:rFonts w:ascii="宋体" w:hAnsi="宋体" w:eastAsia="宋体" w:cs="宋体"/>
          <w:color w:val="auto"/>
        </w:rPr>
        <w:t>居民收入</w:t>
      </w:r>
      <w:r>
        <w:tab/>
      </w:r>
      <w:r>
        <w:t xml:space="preserve">D. </w:t>
      </w:r>
      <w:r>
        <w:rPr>
          <w:rFonts w:ascii="宋体" w:hAnsi="宋体" w:eastAsia="宋体" w:cs="宋体"/>
          <w:color w:val="auto"/>
        </w:rPr>
        <w:t>住宅面积</w:t>
      </w:r>
    </w:p>
    <w:p w14:paraId="412C20C8">
      <w:pPr>
        <w:spacing w:line="360" w:lineRule="auto"/>
        <w:textAlignment w:val="center"/>
        <w:rPr>
          <w:color w:val="000000"/>
        </w:rPr>
      </w:pPr>
      <w:r>
        <w:rPr>
          <w:color w:val="2E75B6"/>
        </w:rPr>
        <w:t>【答案】</w:t>
      </w:r>
      <w:r>
        <w:rPr>
          <w:color w:val="000000"/>
        </w:rPr>
        <w:t>1. B    2. C    3. C</w:t>
      </w:r>
    </w:p>
    <w:p w14:paraId="73D2599F">
      <w:pPr>
        <w:spacing w:line="360" w:lineRule="auto"/>
        <w:textAlignment w:val="center"/>
        <w:rPr>
          <w:color w:val="000000"/>
        </w:rPr>
      </w:pPr>
      <w:r>
        <w:rPr>
          <w:color w:val="2E75B6"/>
        </w:rPr>
        <w:t>【解析】</w:t>
      </w:r>
    </w:p>
    <w:p w14:paraId="1FB1BACC">
      <w:pPr>
        <w:spacing w:line="360" w:lineRule="auto"/>
        <w:textAlignment w:val="center"/>
        <w:rPr>
          <w:color w:val="000000"/>
        </w:rPr>
      </w:pPr>
      <w:r>
        <w:rPr>
          <w:color w:val="000000"/>
          <w:position w:val="0"/>
        </w:rPr>
        <w:drawing>
          <wp:inline distT="0" distB="0" distL="114300" distR="114300">
            <wp:extent cx="95250" cy="17145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7"/>
                    <a:stretch>
                      <a:fillRect/>
                    </a:stretch>
                  </pic:blipFill>
                  <pic:spPr>
                    <a:xfrm>
                      <a:off x="0" y="0"/>
                      <a:ext cx="95250" cy="171450"/>
                    </a:xfrm>
                    <a:prstGeom prst="rect">
                      <a:avLst/>
                    </a:prstGeom>
                  </pic:spPr>
                </pic:pic>
              </a:graphicData>
            </a:graphic>
          </wp:inline>
        </w:drawing>
      </w:r>
      <w:r>
        <w:rPr>
          <w:color w:val="000000"/>
        </w:rPr>
        <w:t>1题详解】</w:t>
      </w:r>
    </w:p>
    <w:p w14:paraId="7E703528">
      <w:pPr>
        <w:spacing w:line="360" w:lineRule="auto"/>
        <w:jc w:val="left"/>
        <w:textAlignment w:val="center"/>
        <w:rPr>
          <w:color w:val="000000"/>
        </w:rPr>
      </w:pPr>
      <w:r>
        <w:rPr>
          <w:rFonts w:ascii="宋体" w:hAnsi="宋体" w:eastAsia="宋体" w:cs="宋体"/>
          <w:color w:val="000000"/>
        </w:rPr>
        <w:t>人口增长率与人口自然变动和迁移变动有关，不与人口离心化呈负相关，A错误；城市常住人口规模扩张，人口向郊区扩散趋势明显，离心化上升，B正确；预测未来的大城市，人口更倾向于环境质量好的城市郊区或小城镇居住，向心化趋势会减弱，C错误；中心城区集聚优质资源加剧人口向城市中心集聚，向心化趋势明显，D错误。故选B。</w:t>
      </w:r>
    </w:p>
    <w:p w14:paraId="475BA61B">
      <w:pPr>
        <w:spacing w:line="360" w:lineRule="auto"/>
        <w:jc w:val="left"/>
        <w:textAlignment w:val="center"/>
        <w:rPr>
          <w:color w:val="000000"/>
        </w:rPr>
      </w:pPr>
      <w:r>
        <w:rPr>
          <w:color w:val="000000"/>
        </w:rPr>
        <w:t>【2题详解】</w:t>
      </w:r>
    </w:p>
    <w:p w14:paraId="62EEC4A5">
      <w:pPr>
        <w:spacing w:line="360" w:lineRule="auto"/>
        <w:jc w:val="left"/>
        <w:textAlignment w:val="center"/>
        <w:rPr>
          <w:color w:val="000000"/>
        </w:rPr>
      </w:pPr>
      <w:r>
        <w:rPr>
          <w:rFonts w:ascii="宋体" w:hAnsi="宋体" w:eastAsia="宋体" w:cs="宋体"/>
          <w:color w:val="000000"/>
        </w:rPr>
        <w:t>读图可知，就人口密度分布的演进趋势而言，向心化趋势与离心化趋势差异不明显，A错误；从图上看城市离心化主要集中在省会或中西部的城市，B错误；向心化主要分布沿海及北方，C正确；东北地区因资源型城市较多，人口大量迁出，D错误。故选C。</w:t>
      </w:r>
    </w:p>
    <w:p w14:paraId="0E8FEF14">
      <w:pPr>
        <w:spacing w:line="360" w:lineRule="auto"/>
        <w:jc w:val="left"/>
        <w:textAlignment w:val="center"/>
        <w:rPr>
          <w:color w:val="000000"/>
        </w:rPr>
      </w:pPr>
      <w:r>
        <w:rPr>
          <w:color w:val="000000"/>
          <w:position w:val="0"/>
        </w:rPr>
        <w:drawing>
          <wp:inline distT="0" distB="0" distL="114300" distR="114300">
            <wp:extent cx="95250" cy="17145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7"/>
                    <a:stretch>
                      <a:fillRect/>
                    </a:stretch>
                  </pic:blipFill>
                  <pic:spPr>
                    <a:xfrm>
                      <a:off x="0" y="0"/>
                      <a:ext cx="95250" cy="171450"/>
                    </a:xfrm>
                    <a:prstGeom prst="rect">
                      <a:avLst/>
                    </a:prstGeom>
                  </pic:spPr>
                </pic:pic>
              </a:graphicData>
            </a:graphic>
          </wp:inline>
        </w:drawing>
      </w:r>
      <w:r>
        <w:rPr>
          <w:color w:val="000000"/>
        </w:rPr>
        <w:t>3题详解】</w:t>
      </w:r>
    </w:p>
    <w:p w14:paraId="27195505">
      <w:pPr>
        <w:spacing w:line="360" w:lineRule="auto"/>
        <w:jc w:val="left"/>
        <w:textAlignment w:val="center"/>
        <w:rPr>
          <w:color w:val="000000"/>
        </w:rPr>
      </w:pPr>
      <w:r>
        <w:rPr>
          <w:rFonts w:ascii="宋体" w:hAnsi="宋体" w:eastAsia="宋体" w:cs="宋体"/>
          <w:color w:val="000000"/>
        </w:rPr>
        <w:t>据材料“人口向城市中心集聚称之为向心化”可知，随着社会发展，城市人口规模增加、居民收入增加、家庭规模扩大，</w:t>
      </w:r>
      <w:r>
        <w:rPr>
          <w:color w:val="000000"/>
        </w:rPr>
        <w:t>使人口向市中心集中，</w:t>
      </w:r>
      <w:r>
        <w:rPr>
          <w:rFonts w:ascii="宋体" w:hAnsi="宋体" w:eastAsia="宋体" w:cs="宋体"/>
          <w:color w:val="000000"/>
        </w:rPr>
        <w:t>利于促进城市向心化，C正确；对外道路建设、公共交通投入会改善城市交通状况，有利于人口由中心向外围拓展，AB错误；与住宅面积关系不大，D错误。故选C。</w:t>
      </w:r>
    </w:p>
    <w:p w14:paraId="37D61AB6">
      <w:pPr>
        <w:spacing w:line="360" w:lineRule="auto"/>
        <w:jc w:val="left"/>
        <w:textAlignment w:val="center"/>
        <w:rPr>
          <w:color w:val="000000"/>
        </w:rPr>
      </w:pPr>
      <w:r>
        <w:rPr>
          <w:color w:val="000000"/>
        </w:rPr>
        <w:t>【点睛】</w:t>
      </w:r>
      <w:r>
        <w:rPr>
          <w:rFonts w:ascii="宋体" w:hAnsi="宋体" w:eastAsia="宋体" w:cs="宋体"/>
          <w:color w:val="000000"/>
        </w:rPr>
        <w:t>人口增长率是一定时期内（通常为1年内）由人口自然变动和迁移变动而引起人口增长的比率。</w:t>
      </w:r>
    </w:p>
    <w:p w14:paraId="0A5C7480">
      <w:pPr>
        <w:spacing w:line="360" w:lineRule="auto"/>
        <w:ind w:firstLine="420"/>
        <w:jc w:val="left"/>
        <w:textAlignment w:val="center"/>
        <w:rPr>
          <w:color w:val="000000"/>
        </w:rPr>
      </w:pPr>
      <w:r>
        <w:rPr>
          <w:rFonts w:ascii="楷体" w:hAnsi="楷体" w:eastAsia="楷体" w:cs="楷体"/>
          <w:color w:val="000000"/>
        </w:rPr>
        <w:t>都市圈接合区是指在都市圈发展过程中，不同城市的行政区域交界地带或相邻区域。都市圈接合区易受行政区划边界效应影响，早期发展受到制约，后期逐渐协同。对我国某都市圈接合区土地利用类型的研究表明：早期，行政区划边界效应抑制了耕地流失；后期，随着边界效应减轻，耕地流失加快。下表示意该都市圈接合区不同时期耕地流失状况（单位：</w:t>
      </w:r>
      <w:r>
        <w:rPr>
          <w:rFonts w:ascii="Times New Roman" w:hAnsi="Times New Roman" w:eastAsia="Times New Roman" w:cs="Times New Roman"/>
          <w:color w:val="000000"/>
        </w:rPr>
        <w:t>km2</w:t>
      </w:r>
      <w:r>
        <w:rPr>
          <w:rFonts w:ascii="楷体" w:hAnsi="楷体" w:eastAsia="楷体" w:cs="楷体"/>
          <w:color w:val="000000"/>
        </w:rPr>
        <w:t>）。完成下面小题。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53"/>
        <w:gridCol w:w="1290"/>
        <w:gridCol w:w="1290"/>
        <w:gridCol w:w="1290"/>
        <w:gridCol w:w="1710"/>
        <w:gridCol w:w="1500"/>
      </w:tblGrid>
      <w:tr w14:paraId="718BB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511572">
            <w:pPr>
              <w:spacing w:line="360" w:lineRule="auto"/>
              <w:jc w:val="left"/>
              <w:textAlignment w:val="center"/>
              <w:rPr>
                <w:color w:val="000000"/>
              </w:rPr>
            </w:pPr>
            <w:r>
              <w:rPr>
                <w:rFonts w:ascii="楷体" w:hAnsi="楷体" w:eastAsia="楷体" w:cs="楷体"/>
                <w:color w:val="000000"/>
              </w:rPr>
              <w:t>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FB59BE">
            <w:pPr>
              <w:spacing w:line="360" w:lineRule="auto"/>
              <w:jc w:val="left"/>
              <w:textAlignment w:val="center"/>
              <w:rPr>
                <w:color w:val="000000"/>
              </w:rPr>
            </w:pPr>
            <w:r>
              <w:rPr>
                <w:rFonts w:ascii="楷体" w:hAnsi="楷体" w:eastAsia="楷体" w:cs="楷体"/>
                <w:color w:val="000000"/>
              </w:rPr>
              <w:t>耕地转森林</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CD2DE8">
            <w:pPr>
              <w:spacing w:line="360" w:lineRule="auto"/>
              <w:jc w:val="left"/>
              <w:textAlignment w:val="center"/>
              <w:rPr>
                <w:color w:val="000000"/>
              </w:rPr>
            </w:pPr>
            <w:r>
              <w:rPr>
                <w:rFonts w:ascii="楷体" w:hAnsi="楷体" w:eastAsia="楷体" w:cs="楷体"/>
                <w:color w:val="000000"/>
              </w:rPr>
              <w:t>耕地转草地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E2473A">
            <w:pPr>
              <w:spacing w:line="360" w:lineRule="auto"/>
              <w:jc w:val="left"/>
              <w:textAlignment w:val="center"/>
              <w:rPr>
                <w:color w:val="000000"/>
              </w:rPr>
            </w:pPr>
            <w:r>
              <w:rPr>
                <w:rFonts w:ascii="楷体" w:hAnsi="楷体" w:eastAsia="楷体" w:cs="楷体"/>
                <w:color w:val="000000"/>
              </w:rPr>
              <w:t>耕地转水体</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5873A1">
            <w:pPr>
              <w:spacing w:line="360" w:lineRule="auto"/>
              <w:jc w:val="left"/>
              <w:textAlignment w:val="center"/>
              <w:rPr>
                <w:color w:val="000000"/>
              </w:rPr>
            </w:pPr>
            <w:r>
              <w:rPr>
                <w:rFonts w:ascii="楷体" w:hAnsi="楷体" w:eastAsia="楷体" w:cs="楷体"/>
                <w:color w:val="000000"/>
              </w:rPr>
              <w:t>耕地转建设用地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6DCD9E">
            <w:pPr>
              <w:spacing w:line="360" w:lineRule="auto"/>
              <w:jc w:val="left"/>
              <w:textAlignment w:val="center"/>
              <w:rPr>
                <w:color w:val="000000"/>
              </w:rPr>
            </w:pPr>
            <w:r>
              <w:rPr>
                <w:rFonts w:ascii="楷体" w:hAnsi="楷体" w:eastAsia="楷体" w:cs="楷体"/>
                <w:color w:val="000000"/>
              </w:rPr>
              <w:t>耕地转出总量</w:t>
            </w:r>
          </w:p>
        </w:tc>
      </w:tr>
      <w:tr w14:paraId="12DC3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BE68F4">
            <w:pPr>
              <w:spacing w:line="360" w:lineRule="auto"/>
              <w:jc w:val="left"/>
              <w:textAlignment w:val="center"/>
              <w:rPr>
                <w:color w:val="000000"/>
              </w:rPr>
            </w:pPr>
            <w:r>
              <w:rPr>
                <w:rFonts w:ascii="楷体" w:hAnsi="楷体" w:eastAsia="楷体" w:cs="楷体"/>
                <w:color w:val="000000"/>
              </w:rPr>
              <w:t>早期（</w:t>
            </w:r>
            <w:r>
              <w:rPr>
                <w:rFonts w:ascii="Times New Roman" w:hAnsi="Times New Roman" w:eastAsia="Times New Roman" w:cs="Times New Roman"/>
                <w:color w:val="000000"/>
              </w:rPr>
              <w:t>2000-2010</w:t>
            </w:r>
            <w:r>
              <w:rPr>
                <w:rFonts w:ascii="楷体" w:hAnsi="楷体" w:eastAsia="楷体" w:cs="楷体"/>
                <w:color w:val="000000"/>
              </w:rPr>
              <w:t>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D7FED7">
            <w:pPr>
              <w:spacing w:line="360" w:lineRule="auto"/>
              <w:jc w:val="left"/>
              <w:textAlignment w:val="center"/>
              <w:rPr>
                <w:color w:val="000000"/>
              </w:rPr>
            </w:pPr>
            <w:r>
              <w:rPr>
                <w:rFonts w:ascii="Times New Roman" w:hAnsi="Times New Roman" w:eastAsia="Times New Roman" w:cs="Times New Roman"/>
                <w:color w:val="000000"/>
              </w:rPr>
              <w:t>287.73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1315739">
            <w:pPr>
              <w:spacing w:line="360" w:lineRule="auto"/>
              <w:jc w:val="left"/>
              <w:textAlignment w:val="center"/>
              <w:rPr>
                <w:color w:val="000000"/>
              </w:rPr>
            </w:pPr>
            <w:r>
              <w:rPr>
                <w:rFonts w:ascii="Times New Roman" w:hAnsi="Times New Roman" w:eastAsia="Times New Roman" w:cs="Times New Roman"/>
                <w:color w:val="000000"/>
              </w:rPr>
              <w:t>55.86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A755365">
            <w:pPr>
              <w:spacing w:line="360" w:lineRule="auto"/>
              <w:jc w:val="left"/>
              <w:textAlignment w:val="center"/>
              <w:rPr>
                <w:color w:val="000000"/>
              </w:rPr>
            </w:pPr>
            <w:r>
              <w:rPr>
                <w:rFonts w:ascii="Times New Roman" w:hAnsi="Times New Roman" w:eastAsia="Times New Roman" w:cs="Times New Roman"/>
                <w:color w:val="000000"/>
              </w:rPr>
              <w:t>70.28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A8DE4E">
            <w:pPr>
              <w:spacing w:line="360" w:lineRule="auto"/>
              <w:jc w:val="left"/>
              <w:textAlignment w:val="center"/>
              <w:rPr>
                <w:color w:val="000000"/>
              </w:rPr>
            </w:pPr>
            <w:r>
              <w:rPr>
                <w:rFonts w:ascii="Times New Roman" w:hAnsi="Times New Roman" w:eastAsia="Times New Roman" w:cs="Times New Roman"/>
                <w:color w:val="000000"/>
              </w:rPr>
              <w:t>111.19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56D619">
            <w:pPr>
              <w:spacing w:line="360" w:lineRule="auto"/>
              <w:jc w:val="left"/>
              <w:textAlignment w:val="center"/>
              <w:rPr>
                <w:color w:val="000000"/>
              </w:rPr>
            </w:pPr>
            <w:r>
              <w:rPr>
                <w:rFonts w:ascii="Times New Roman" w:hAnsi="Times New Roman" w:eastAsia="Times New Roman" w:cs="Times New Roman"/>
                <w:color w:val="000000"/>
              </w:rPr>
              <w:t>525.06</w:t>
            </w:r>
          </w:p>
        </w:tc>
      </w:tr>
      <w:tr w14:paraId="12101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130F4D">
            <w:pPr>
              <w:spacing w:line="360" w:lineRule="auto"/>
              <w:jc w:val="left"/>
              <w:textAlignment w:val="center"/>
              <w:rPr>
                <w:color w:val="000000"/>
              </w:rPr>
            </w:pPr>
            <w:r>
              <w:rPr>
                <w:rFonts w:ascii="楷体" w:hAnsi="楷体" w:eastAsia="楷体" w:cs="楷体"/>
                <w:color w:val="000000"/>
              </w:rPr>
              <w:t>后期（</w:t>
            </w:r>
            <w:r>
              <w:rPr>
                <w:rFonts w:ascii="Times New Roman" w:hAnsi="Times New Roman" w:eastAsia="Times New Roman" w:cs="Times New Roman"/>
                <w:color w:val="000000"/>
              </w:rPr>
              <w:t>2010-2020</w:t>
            </w:r>
            <w:r>
              <w:rPr>
                <w:rFonts w:ascii="楷体" w:hAnsi="楷体" w:eastAsia="楷体" w:cs="楷体"/>
                <w:color w:val="000000"/>
              </w:rPr>
              <w:t>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3EAD15">
            <w:pPr>
              <w:spacing w:line="360" w:lineRule="auto"/>
              <w:jc w:val="left"/>
              <w:textAlignment w:val="center"/>
              <w:rPr>
                <w:color w:val="000000"/>
              </w:rPr>
            </w:pPr>
            <w:r>
              <w:rPr>
                <w:rFonts w:ascii="Times New Roman" w:hAnsi="Times New Roman" w:eastAsia="Times New Roman" w:cs="Times New Roman"/>
                <w:color w:val="000000"/>
              </w:rPr>
              <w:t>130.02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7B77C1">
            <w:pPr>
              <w:spacing w:line="360" w:lineRule="auto"/>
              <w:jc w:val="left"/>
              <w:textAlignment w:val="center"/>
              <w:rPr>
                <w:color w:val="000000"/>
              </w:rPr>
            </w:pPr>
            <w:r>
              <w:rPr>
                <w:rFonts w:ascii="Times New Roman" w:hAnsi="Times New Roman" w:eastAsia="Times New Roman" w:cs="Times New Roman"/>
                <w:color w:val="000000"/>
              </w:rPr>
              <w:t>57.90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4380AE">
            <w:pPr>
              <w:spacing w:line="360" w:lineRule="auto"/>
              <w:jc w:val="left"/>
              <w:textAlignment w:val="center"/>
              <w:rPr>
                <w:color w:val="000000"/>
              </w:rPr>
            </w:pPr>
            <w:r>
              <w:rPr>
                <w:rFonts w:ascii="Times New Roman" w:hAnsi="Times New Roman" w:eastAsia="Times New Roman" w:cs="Times New Roman"/>
                <w:color w:val="000000"/>
              </w:rPr>
              <w:t>112.09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0D54EC">
            <w:pPr>
              <w:spacing w:line="360" w:lineRule="auto"/>
              <w:jc w:val="left"/>
              <w:textAlignment w:val="center"/>
              <w:rPr>
                <w:color w:val="000000"/>
              </w:rPr>
            </w:pPr>
            <w:r>
              <w:rPr>
                <w:rFonts w:ascii="Times New Roman" w:hAnsi="Times New Roman" w:eastAsia="Times New Roman" w:cs="Times New Roman"/>
                <w:color w:val="000000"/>
              </w:rPr>
              <w:t>763.58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2DFEEBA">
            <w:pPr>
              <w:spacing w:line="360" w:lineRule="auto"/>
              <w:jc w:val="left"/>
              <w:textAlignment w:val="center"/>
              <w:rPr>
                <w:color w:val="000000"/>
              </w:rPr>
            </w:pPr>
            <w:r>
              <w:rPr>
                <w:rFonts w:ascii="Times New Roman" w:hAnsi="Times New Roman" w:eastAsia="Times New Roman" w:cs="Times New Roman"/>
                <w:color w:val="000000"/>
              </w:rPr>
              <w:t>1063.59</w:t>
            </w:r>
          </w:p>
        </w:tc>
      </w:tr>
    </w:tbl>
    <w:p w14:paraId="4C0AABAE">
      <w:pPr>
        <w:spacing w:line="360" w:lineRule="auto"/>
        <w:jc w:val="left"/>
        <w:textAlignment w:val="center"/>
        <w:rPr>
          <w:color w:val="000000"/>
        </w:rPr>
      </w:pPr>
    </w:p>
    <w:p w14:paraId="5D4FCCE8">
      <w:pPr>
        <w:spacing w:line="360" w:lineRule="auto"/>
        <w:jc w:val="left"/>
        <w:textAlignment w:val="center"/>
        <w:rPr>
          <w:color w:val="000000"/>
        </w:rPr>
      </w:pPr>
      <w:r>
        <w:rPr>
          <w:color w:val="000000"/>
        </w:rPr>
        <w:t xml:space="preserve">4. </w:t>
      </w:r>
      <w:r>
        <w:rPr>
          <w:rFonts w:ascii="宋体" w:hAnsi="宋体" w:eastAsia="宋体" w:cs="宋体"/>
          <w:color w:val="000000"/>
        </w:rPr>
        <w:t>早期，该都市圈接合区行政区划边界效应抑制了耕地流失，主要因为边界地区（</w:t>
      </w:r>
      <w:r>
        <w:rPr>
          <w:rFonts w:ascii="Times New Roman" w:hAnsi="Times New Roman" w:eastAsia="Times New Roman" w:cs="Times New Roman"/>
          <w:color w:val="000000"/>
        </w:rPr>
        <w:t xml:space="preserve">   </w:t>
      </w:r>
      <w:r>
        <w:rPr>
          <w:rFonts w:ascii="宋体" w:hAnsi="宋体" w:eastAsia="宋体" w:cs="宋体"/>
          <w:color w:val="000000"/>
        </w:rPr>
        <w:t>）</w:t>
      </w:r>
    </w:p>
    <w:p w14:paraId="67EB5D63">
      <w:pPr>
        <w:spacing w:line="360" w:lineRule="auto"/>
        <w:jc w:val="left"/>
        <w:textAlignment w:val="center"/>
        <w:rPr>
          <w:color w:val="000000"/>
        </w:rPr>
      </w:pPr>
      <w:r>
        <w:rPr>
          <w:rFonts w:ascii="宋体" w:hAnsi="宋体" w:eastAsia="宋体" w:cs="宋体"/>
          <w:color w:val="000000"/>
        </w:rPr>
        <w:t>①土地利用价值较低②技术落后③人口较少④交通不便</w:t>
      </w:r>
    </w:p>
    <w:p w14:paraId="1C9CE9D5">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③④</w:t>
      </w:r>
    </w:p>
    <w:p w14:paraId="4D3E032E">
      <w:pPr>
        <w:spacing w:line="360" w:lineRule="auto"/>
        <w:jc w:val="left"/>
        <w:textAlignment w:val="center"/>
        <w:rPr>
          <w:color w:val="000000"/>
        </w:rPr>
      </w:pPr>
      <w:r>
        <w:rPr>
          <w:color w:val="000000"/>
        </w:rPr>
        <w:t xml:space="preserve">5. </w:t>
      </w:r>
      <w:r>
        <w:rPr>
          <w:rFonts w:ascii="宋体" w:hAnsi="宋体" w:eastAsia="宋体" w:cs="宋体"/>
          <w:color w:val="000000"/>
        </w:rPr>
        <w:t>后期，该都市圈接合区行政区划边界效应减轻，耕地流失加快，伴随着（</w:t>
      </w:r>
      <w:r>
        <w:rPr>
          <w:rFonts w:ascii="Times New Roman" w:hAnsi="Times New Roman" w:eastAsia="Times New Roman" w:cs="Times New Roman"/>
          <w:color w:val="000000"/>
        </w:rPr>
        <w:t xml:space="preserve">   </w:t>
      </w:r>
      <w:r>
        <w:rPr>
          <w:rFonts w:ascii="宋体" w:hAnsi="宋体" w:eastAsia="宋体" w:cs="宋体"/>
          <w:color w:val="000000"/>
        </w:rPr>
        <w:t>）</w:t>
      </w:r>
    </w:p>
    <w:p w14:paraId="2BDD6920">
      <w:pPr>
        <w:spacing w:line="360" w:lineRule="auto"/>
        <w:jc w:val="left"/>
        <w:textAlignment w:val="center"/>
        <w:rPr>
          <w:color w:val="000000"/>
        </w:rPr>
      </w:pPr>
      <w:r>
        <w:rPr>
          <w:rFonts w:ascii="宋体" w:hAnsi="宋体" w:eastAsia="宋体" w:cs="宋体"/>
          <w:color w:val="000000"/>
        </w:rPr>
        <w:t>①迁出人口大量增加②聚落行政等级提升</w:t>
      </w:r>
    </w:p>
    <w:p w14:paraId="047BB988">
      <w:pPr>
        <w:spacing w:line="360" w:lineRule="auto"/>
        <w:jc w:val="left"/>
        <w:textAlignment w:val="center"/>
        <w:rPr>
          <w:color w:val="000000"/>
        </w:rPr>
      </w:pPr>
      <w:r>
        <w:rPr>
          <w:rFonts w:ascii="宋体" w:hAnsi="宋体" w:eastAsia="宋体" w:cs="宋体"/>
          <w:color w:val="000000"/>
        </w:rPr>
        <w:t>③农业从业人员平均年龄上升④乡镇中小型工业企业发展</w:t>
      </w:r>
    </w:p>
    <w:p w14:paraId="595B9BC6">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③④</w:t>
      </w:r>
    </w:p>
    <w:p w14:paraId="7A0EDAB7">
      <w:pPr>
        <w:spacing w:line="360" w:lineRule="auto"/>
        <w:jc w:val="left"/>
        <w:textAlignment w:val="center"/>
        <w:rPr>
          <w:color w:val="000000"/>
        </w:rPr>
      </w:pPr>
      <w:r>
        <w:rPr>
          <w:color w:val="000000"/>
        </w:rPr>
        <w:t xml:space="preserve">6. </w:t>
      </w:r>
      <w:r>
        <w:rPr>
          <w:rFonts w:ascii="宋体" w:hAnsi="宋体" w:eastAsia="宋体" w:cs="宋体"/>
          <w:color w:val="000000"/>
        </w:rPr>
        <w:t>推测该都市圈接合区最有可能位于（</w:t>
      </w:r>
      <w:r>
        <w:rPr>
          <w:rFonts w:ascii="Times New Roman" w:hAnsi="Times New Roman" w:eastAsia="Times New Roman" w:cs="Times New Roman"/>
          <w:color w:val="000000"/>
        </w:rPr>
        <w:t xml:space="preserve">   </w:t>
      </w:r>
      <w:r>
        <w:rPr>
          <w:rFonts w:ascii="宋体" w:hAnsi="宋体" w:eastAsia="宋体" w:cs="宋体"/>
          <w:color w:val="000000"/>
        </w:rPr>
        <w:t>）</w:t>
      </w:r>
    </w:p>
    <w:p w14:paraId="24A633B1">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成渝都市圈</w:t>
      </w:r>
      <w:r>
        <w:rPr>
          <w:color w:val="000000"/>
        </w:rPr>
        <w:tab/>
      </w:r>
      <w:r>
        <w:rPr>
          <w:color w:val="000000"/>
        </w:rPr>
        <w:t xml:space="preserve">B. </w:t>
      </w:r>
      <w:r>
        <w:rPr>
          <w:rFonts w:ascii="宋体" w:hAnsi="宋体" w:eastAsia="宋体" w:cs="宋体"/>
          <w:color w:val="000000"/>
        </w:rPr>
        <w:t>长三角城市群</w:t>
      </w:r>
      <w:r>
        <w:rPr>
          <w:color w:val="000000"/>
        </w:rPr>
        <w:tab/>
      </w:r>
      <w:r>
        <w:rPr>
          <w:color w:val="000000"/>
        </w:rPr>
        <w:t xml:space="preserve">C. </w:t>
      </w:r>
      <w:r>
        <w:rPr>
          <w:rFonts w:ascii="宋体" w:hAnsi="宋体" w:eastAsia="宋体" w:cs="宋体"/>
          <w:color w:val="000000"/>
        </w:rPr>
        <w:t>天山北坡经济带</w:t>
      </w:r>
      <w:r>
        <w:rPr>
          <w:color w:val="000000"/>
        </w:rPr>
        <w:tab/>
      </w:r>
      <w:r>
        <w:rPr>
          <w:color w:val="000000"/>
        </w:rPr>
        <w:t xml:space="preserve">D. </w:t>
      </w:r>
      <w:r>
        <w:rPr>
          <w:rFonts w:ascii="宋体" w:hAnsi="宋体" w:eastAsia="宋体" w:cs="宋体"/>
          <w:color w:val="000000"/>
        </w:rPr>
        <w:t>粤港澳大湾区</w:t>
      </w:r>
    </w:p>
    <w:p w14:paraId="4906A1CD">
      <w:pPr>
        <w:spacing w:line="360" w:lineRule="auto"/>
        <w:textAlignment w:val="center"/>
        <w:rPr>
          <w:color w:val="000000"/>
        </w:rPr>
      </w:pPr>
      <w:r>
        <w:rPr>
          <w:color w:val="2E75B6"/>
        </w:rPr>
        <w:t>【答案】</w:t>
      </w:r>
      <w:r>
        <w:rPr>
          <w:color w:val="000000"/>
        </w:rPr>
        <w:t>4. B    5. D    6. A</w:t>
      </w:r>
    </w:p>
    <w:p w14:paraId="343487F1">
      <w:pPr>
        <w:spacing w:line="360" w:lineRule="auto"/>
        <w:textAlignment w:val="center"/>
        <w:rPr>
          <w:color w:val="000000"/>
        </w:rPr>
      </w:pPr>
      <w:r>
        <w:rPr>
          <w:color w:val="2E75B6"/>
        </w:rPr>
        <w:t>【解析】</w:t>
      </w:r>
    </w:p>
    <w:p w14:paraId="6142B806">
      <w:pPr>
        <w:spacing w:line="360" w:lineRule="auto"/>
        <w:textAlignment w:val="center"/>
        <w:rPr>
          <w:color w:val="000000"/>
        </w:rPr>
      </w:pPr>
      <w:r>
        <w:rPr>
          <w:color w:val="000000"/>
        </w:rPr>
        <w:t>【4题详解】</w:t>
      </w:r>
    </w:p>
    <w:p w14:paraId="643592AE">
      <w:pPr>
        <w:spacing w:line="360" w:lineRule="auto"/>
        <w:jc w:val="left"/>
        <w:textAlignment w:val="center"/>
        <w:rPr>
          <w:color w:val="000000"/>
        </w:rPr>
      </w:pPr>
      <w:r>
        <w:rPr>
          <w:rFonts w:ascii="宋体" w:hAnsi="宋体" w:eastAsia="宋体" w:cs="宋体"/>
          <w:color w:val="000000"/>
        </w:rPr>
        <w:t>早期，该都市圈接合区因地处行政区划交界部位，经济发展滞后，耕地的土地利用价值较低，且交通不便，不利于耕地转化为建设用地发展第二、第三产业，①④正确。与技术水平和人口关系不大，②③错误。B正确，ACD错误，故选B。</w:t>
      </w:r>
    </w:p>
    <w:p w14:paraId="361571AE">
      <w:pPr>
        <w:spacing w:line="360" w:lineRule="auto"/>
        <w:jc w:val="left"/>
        <w:textAlignment w:val="center"/>
        <w:rPr>
          <w:color w:val="000000"/>
        </w:rPr>
      </w:pPr>
      <w:r>
        <w:rPr>
          <w:color w:val="000000"/>
        </w:rPr>
        <w:t>【5题详解】</w:t>
      </w:r>
    </w:p>
    <w:p w14:paraId="625CBB64">
      <w:pPr>
        <w:spacing w:line="360" w:lineRule="auto"/>
        <w:jc w:val="left"/>
        <w:textAlignment w:val="center"/>
        <w:rPr>
          <w:color w:val="000000"/>
        </w:rPr>
      </w:pPr>
      <w:r>
        <w:rPr>
          <w:rFonts w:ascii="宋体" w:hAnsi="宋体" w:eastAsia="宋体" w:cs="宋体"/>
          <w:color w:val="000000"/>
        </w:rPr>
        <w:t>后期，随着该都市圈接合区乡镇企业的发展，当地就业机会增多，迁出人口减少，①错误；聚落行政等级不会随经济发展而轻易改变，②错误；后期，该都市圈接合区行政区划边界效应减轻，耕地流失加快，转为建设用地的耕地最多，推测乡镇工业和服务业得到一定发展，从而吸引了大量青壮年劳动力，使第一产业从业人员的平均年龄上升，③④正确。D正确，ABC错误，故选D。</w:t>
      </w:r>
    </w:p>
    <w:p w14:paraId="6656143C">
      <w:pPr>
        <w:spacing w:line="360" w:lineRule="auto"/>
        <w:jc w:val="left"/>
        <w:textAlignment w:val="center"/>
        <w:rPr>
          <w:color w:val="000000"/>
        </w:rPr>
      </w:pPr>
      <w:r>
        <w:rPr>
          <w:color w:val="000000"/>
        </w:rPr>
        <w:t>【6题详解】</w:t>
      </w:r>
    </w:p>
    <w:p w14:paraId="389B481C">
      <w:pPr>
        <w:spacing w:line="360" w:lineRule="auto"/>
        <w:jc w:val="left"/>
        <w:textAlignment w:val="center"/>
        <w:rPr>
          <w:color w:val="000000"/>
        </w:rPr>
      </w:pPr>
      <w:r>
        <w:rPr>
          <w:rFonts w:ascii="宋体" w:hAnsi="宋体" w:eastAsia="宋体" w:cs="宋体"/>
          <w:color w:val="000000"/>
        </w:rPr>
        <w:t>由表中数据可知，该都市圈接合区转出的耕地，除了转为建设用地外，还主要转为森林，说明该地宜林地面积较广。长三角城市群和粤港澳大湾区以平原为主，而成渝都市圈多山地、丘陵，宜林面积大；天山北坡经济带所在地区气候干旱，宜林面积小。综上所述，A正确，BCD错误。故选A。</w:t>
      </w:r>
    </w:p>
    <w:p w14:paraId="1C5A176F">
      <w:pPr>
        <w:spacing w:line="360" w:lineRule="auto"/>
        <w:jc w:val="left"/>
        <w:textAlignment w:val="center"/>
        <w:rPr>
          <w:color w:val="000000"/>
        </w:rPr>
      </w:pPr>
      <w:r>
        <w:rPr>
          <w:color w:val="000000"/>
        </w:rPr>
        <w:t>【点睛】</w:t>
      </w:r>
      <w:r>
        <w:rPr>
          <w:rFonts w:ascii="宋体" w:hAnsi="宋体" w:eastAsia="宋体" w:cs="宋体"/>
          <w:color w:val="000000"/>
        </w:rPr>
        <w:t>土地被分为三大类，分别是农业用地、建设用地和通常情况下难以利用的土地。每一大类土地类型还可以进行细分，如农业用地可以分为耕地、林地、草地等；建设用地可以分为住宅用地、交通运输用地、工矿仓储用地等；难以利用的土地则包括永久积雪和冰川、戈壁等。</w:t>
      </w:r>
    </w:p>
    <w:p w14:paraId="24A3BB3A">
      <w:pPr>
        <w:spacing w:line="360" w:lineRule="auto"/>
        <w:ind w:firstLine="420"/>
        <w:jc w:val="left"/>
        <w:textAlignment w:val="center"/>
        <w:rPr>
          <w:color w:val="000000"/>
        </w:rPr>
      </w:pPr>
      <w:r>
        <w:rPr>
          <w:rFonts w:ascii="楷体" w:hAnsi="楷体" w:eastAsia="楷体" w:cs="楷体"/>
          <w:color w:val="000000"/>
        </w:rPr>
        <w:t>荷兰</w:t>
      </w:r>
      <w:r>
        <w:rPr>
          <w:rFonts w:ascii="Times New Roman" w:hAnsi="Times New Roman" w:eastAsia="Times New Roman" w:cs="Times New Roman"/>
          <w:color w:val="000000"/>
        </w:rPr>
        <w:t>ASML</w:t>
      </w:r>
      <w:r>
        <w:rPr>
          <w:rFonts w:ascii="楷体" w:hAnsi="楷体" w:eastAsia="楷体" w:cs="楷体"/>
          <w:color w:val="000000"/>
        </w:rPr>
        <w:t>是全球半导体光刻设备的最大供应商。</w:t>
      </w:r>
      <w:r>
        <w:rPr>
          <w:rFonts w:ascii="Times New Roman" w:hAnsi="Times New Roman" w:eastAsia="Times New Roman" w:cs="Times New Roman"/>
          <w:color w:val="000000"/>
        </w:rPr>
        <w:t>2019</w:t>
      </w:r>
      <w:r>
        <w:rPr>
          <w:rFonts w:ascii="楷体" w:hAnsi="楷体" w:eastAsia="楷体" w:cs="楷体"/>
          <w:color w:val="000000"/>
        </w:rPr>
        <w:t>年，其销售额为</w:t>
      </w:r>
      <w:r>
        <w:rPr>
          <w:rFonts w:ascii="Times New Roman" w:hAnsi="Times New Roman" w:eastAsia="Times New Roman" w:cs="Times New Roman"/>
          <w:color w:val="000000"/>
        </w:rPr>
        <w:t>118</w:t>
      </w:r>
      <w:r>
        <w:rPr>
          <w:rFonts w:ascii="楷体" w:hAnsi="楷体" w:eastAsia="楷体" w:cs="楷体"/>
          <w:color w:val="000000"/>
        </w:rPr>
        <w:t>亿欧元，研发支出达</w:t>
      </w:r>
      <w:r>
        <w:rPr>
          <w:rFonts w:ascii="Times New Roman" w:hAnsi="Times New Roman" w:eastAsia="Times New Roman" w:cs="Times New Roman"/>
          <w:color w:val="000000"/>
        </w:rPr>
        <w:t>20</w:t>
      </w:r>
      <w:r>
        <w:rPr>
          <w:rFonts w:ascii="楷体" w:hAnsi="楷体" w:eastAsia="楷体" w:cs="楷体"/>
          <w:color w:val="000000"/>
        </w:rPr>
        <w:t>亿欧元，占销售额的</w:t>
      </w:r>
      <w:r>
        <w:rPr>
          <w:rFonts w:ascii="Times New Roman" w:hAnsi="Times New Roman" w:eastAsia="Times New Roman" w:cs="Times New Roman"/>
          <w:color w:val="000000"/>
        </w:rPr>
        <w:t>16.9%</w:t>
      </w:r>
      <w:r>
        <w:rPr>
          <w:rFonts w:ascii="楷体" w:hAnsi="楷体" w:eastAsia="楷体" w:cs="楷体"/>
          <w:color w:val="000000"/>
        </w:rPr>
        <w:t>，高于行业</w:t>
      </w:r>
      <w:r>
        <w:rPr>
          <w:rFonts w:ascii="Times New Roman" w:hAnsi="Times New Roman" w:eastAsia="Times New Roman" w:cs="Times New Roman"/>
          <w:color w:val="000000"/>
        </w:rPr>
        <w:t>10%</w:t>
      </w:r>
      <w:r>
        <w:rPr>
          <w:rFonts w:ascii="楷体" w:hAnsi="楷体" w:eastAsia="楷体" w:cs="楷体"/>
          <w:color w:val="000000"/>
        </w:rPr>
        <w:t>的平均水平。根据光刻设备的需求，荷兰</w:t>
      </w:r>
      <w:r>
        <w:rPr>
          <w:rFonts w:ascii="Times New Roman" w:hAnsi="Times New Roman" w:eastAsia="Times New Roman" w:cs="Times New Roman"/>
          <w:color w:val="000000"/>
        </w:rPr>
        <w:t>ASML</w:t>
      </w:r>
      <w:r>
        <w:rPr>
          <w:rFonts w:ascii="楷体" w:hAnsi="楷体" w:eastAsia="楷体" w:cs="楷体"/>
          <w:color w:val="000000"/>
        </w:rPr>
        <w:t>负责组件的研发和设计，供应商处理实际模块和组件的生产，而关键供应商在光刻设备领域只能专项许可给荷兰</w:t>
      </w:r>
      <w:r>
        <w:rPr>
          <w:rFonts w:ascii="Times New Roman" w:hAnsi="Times New Roman" w:eastAsia="Times New Roman" w:cs="Times New Roman"/>
          <w:color w:val="000000"/>
        </w:rPr>
        <w:t>ASML</w:t>
      </w:r>
      <w:r>
        <w:rPr>
          <w:rFonts w:ascii="楷体" w:hAnsi="楷体" w:eastAsia="楷体" w:cs="楷体"/>
          <w:color w:val="000000"/>
        </w:rPr>
        <w:t>使用。下图示意荷兰</w:t>
      </w:r>
      <w:r>
        <w:rPr>
          <w:rFonts w:ascii="Times New Roman" w:hAnsi="Times New Roman" w:eastAsia="Times New Roman" w:cs="Times New Roman"/>
          <w:color w:val="000000"/>
        </w:rPr>
        <w:t>ASML</w:t>
      </w:r>
      <w:r>
        <w:rPr>
          <w:rFonts w:ascii="楷体" w:hAnsi="楷体" w:eastAsia="楷体" w:cs="楷体"/>
          <w:color w:val="000000"/>
        </w:rPr>
        <w:t>的创新生产模式。据此完成下面小题。</w:t>
      </w:r>
    </w:p>
    <w:p w14:paraId="5BF6A2C1">
      <w:pPr>
        <w:spacing w:line="360" w:lineRule="auto"/>
        <w:jc w:val="left"/>
        <w:textAlignment w:val="center"/>
        <w:rPr>
          <w:color w:val="000000"/>
        </w:rPr>
      </w:pPr>
      <w:r>
        <w:rPr>
          <w:color w:val="000000"/>
        </w:rPr>
        <w:drawing>
          <wp:inline distT="0" distB="0" distL="114300" distR="114300">
            <wp:extent cx="3829050" cy="19716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829050" cy="1971675"/>
                    </a:xfrm>
                    <a:prstGeom prst="rect">
                      <a:avLst/>
                    </a:prstGeom>
                  </pic:spPr>
                </pic:pic>
              </a:graphicData>
            </a:graphic>
          </wp:inline>
        </w:drawing>
      </w:r>
    </w:p>
    <w:p w14:paraId="53FB41A7">
      <w:pPr>
        <w:spacing w:line="360" w:lineRule="auto"/>
        <w:jc w:val="left"/>
        <w:textAlignment w:val="center"/>
        <w:rPr>
          <w:color w:val="000000"/>
        </w:rPr>
      </w:pPr>
      <w:r>
        <w:rPr>
          <w:color w:val="000000"/>
        </w:rPr>
        <w:t xml:space="preserve">7. </w:t>
      </w:r>
      <w:r>
        <w:rPr>
          <w:rFonts w:ascii="宋体" w:hAnsi="宋体" w:eastAsia="宋体" w:cs="宋体"/>
          <w:color w:val="000000"/>
        </w:rPr>
        <w:t>图示生产模式可以（</w:t>
      </w:r>
      <w:r>
        <w:rPr>
          <w:rFonts w:ascii="Times New Roman" w:hAnsi="Times New Roman" w:eastAsia="Times New Roman" w:cs="Times New Roman"/>
          <w:color w:val="000000"/>
        </w:rPr>
        <w:t xml:space="preserve">   </w:t>
      </w:r>
      <w:r>
        <w:rPr>
          <w:rFonts w:ascii="宋体" w:hAnsi="宋体" w:eastAsia="宋体" w:cs="宋体"/>
          <w:color w:val="000000"/>
        </w:rPr>
        <w:t>）</w:t>
      </w:r>
    </w:p>
    <w:p w14:paraId="0A6D2F51">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加强企业与供应商协作</w:t>
      </w:r>
      <w:r>
        <w:rPr>
          <w:color w:val="000000"/>
        </w:rPr>
        <w:tab/>
      </w:r>
      <w:r>
        <w:rPr>
          <w:color w:val="000000"/>
        </w:rPr>
        <w:t xml:space="preserve">B. </w:t>
      </w:r>
      <w:r>
        <w:rPr>
          <w:rFonts w:ascii="宋体" w:hAnsi="宋体" w:eastAsia="宋体" w:cs="宋体"/>
          <w:color w:val="000000"/>
        </w:rPr>
        <w:t>降低产品组件运费</w:t>
      </w:r>
    </w:p>
    <w:p w14:paraId="68B49BA1">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节省企业产品研发成本</w:t>
      </w:r>
      <w:r>
        <w:rPr>
          <w:color w:val="000000"/>
        </w:rPr>
        <w:tab/>
      </w:r>
      <w:r>
        <w:rPr>
          <w:color w:val="000000"/>
        </w:rPr>
        <w:t xml:space="preserve">D. </w:t>
      </w:r>
      <w:r>
        <w:rPr>
          <w:rFonts w:ascii="宋体" w:hAnsi="宋体" w:eastAsia="宋体" w:cs="宋体"/>
          <w:color w:val="000000"/>
        </w:rPr>
        <w:t>降低企业市场风险</w:t>
      </w:r>
    </w:p>
    <w:p w14:paraId="02E58B48">
      <w:pPr>
        <w:spacing w:line="360" w:lineRule="auto"/>
        <w:jc w:val="left"/>
        <w:textAlignment w:val="center"/>
        <w:rPr>
          <w:color w:val="000000"/>
        </w:rPr>
      </w:pPr>
      <w:r>
        <w:rPr>
          <w:color w:val="000000"/>
        </w:rPr>
        <w:t xml:space="preserve">8. </w:t>
      </w:r>
      <w:r>
        <w:rPr>
          <w:rFonts w:ascii="宋体" w:hAnsi="宋体" w:eastAsia="宋体" w:cs="宋体"/>
          <w:color w:val="000000"/>
        </w:rPr>
        <w:t>荷兰</w:t>
      </w:r>
      <w:r>
        <w:rPr>
          <w:rFonts w:ascii="Times New Roman" w:hAnsi="Times New Roman" w:eastAsia="Times New Roman" w:cs="Times New Roman"/>
          <w:color w:val="000000"/>
        </w:rPr>
        <w:t>ASML</w:t>
      </w:r>
      <w:r>
        <w:rPr>
          <w:rFonts w:ascii="宋体" w:hAnsi="宋体" w:eastAsia="宋体" w:cs="宋体"/>
          <w:color w:val="000000"/>
        </w:rPr>
        <w:t>在光刻设备领域中要求专项许可的最终目的是（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CA03B84">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加快技术更新</w:t>
      </w:r>
      <w:r>
        <w:rPr>
          <w:color w:val="000000"/>
        </w:rPr>
        <w:tab/>
      </w:r>
      <w:r>
        <w:rPr>
          <w:color w:val="000000"/>
        </w:rPr>
        <w:t xml:space="preserve">B. </w:t>
      </w:r>
      <w:r>
        <w:rPr>
          <w:rFonts w:ascii="宋体" w:hAnsi="宋体" w:eastAsia="宋体" w:cs="宋体"/>
          <w:color w:val="000000"/>
        </w:rPr>
        <w:t>保护技术优势</w:t>
      </w:r>
      <w:r>
        <w:rPr>
          <w:color w:val="000000"/>
        </w:rPr>
        <w:tab/>
      </w:r>
      <w:r>
        <w:rPr>
          <w:color w:val="000000"/>
        </w:rPr>
        <w:t xml:space="preserve">C. </w:t>
      </w:r>
      <w:r>
        <w:rPr>
          <w:rFonts w:ascii="宋体" w:hAnsi="宋体" w:eastAsia="宋体" w:cs="宋体"/>
          <w:color w:val="000000"/>
        </w:rPr>
        <w:t>吸引政府资助</w:t>
      </w:r>
      <w:r>
        <w:rPr>
          <w:color w:val="000000"/>
        </w:rPr>
        <w:tab/>
      </w:r>
      <w:r>
        <w:rPr>
          <w:color w:val="000000"/>
        </w:rPr>
        <w:t xml:space="preserve">D. </w:t>
      </w:r>
      <w:r>
        <w:rPr>
          <w:rFonts w:ascii="宋体" w:hAnsi="宋体" w:eastAsia="宋体" w:cs="宋体"/>
          <w:color w:val="000000"/>
        </w:rPr>
        <w:t>保障部件供给</w:t>
      </w:r>
    </w:p>
    <w:p w14:paraId="7B9FD71D">
      <w:pPr>
        <w:spacing w:line="360" w:lineRule="auto"/>
        <w:textAlignment w:val="center"/>
        <w:rPr>
          <w:color w:val="000000"/>
        </w:rPr>
      </w:pPr>
      <w:r>
        <w:rPr>
          <w:color w:val="2E75B6"/>
        </w:rPr>
        <w:t>【答案】</w:t>
      </w:r>
      <w:r>
        <w:rPr>
          <w:color w:val="000000"/>
        </w:rPr>
        <w:t>7. A    8. B</w:t>
      </w:r>
    </w:p>
    <w:p w14:paraId="32E59FAA">
      <w:pPr>
        <w:spacing w:line="360" w:lineRule="auto"/>
        <w:textAlignment w:val="center"/>
        <w:rPr>
          <w:color w:val="000000"/>
        </w:rPr>
      </w:pPr>
      <w:r>
        <w:rPr>
          <w:color w:val="2E75B6"/>
        </w:rPr>
        <w:t>【解析】</w:t>
      </w:r>
    </w:p>
    <w:p w14:paraId="0F2E1844">
      <w:pPr>
        <w:spacing w:line="360" w:lineRule="auto"/>
        <w:textAlignment w:val="center"/>
        <w:rPr>
          <w:color w:val="000000"/>
        </w:rPr>
      </w:pPr>
      <w:r>
        <w:rPr>
          <w:color w:val="000000"/>
        </w:rPr>
        <w:t>【7题详解】</w:t>
      </w:r>
    </w:p>
    <w:p w14:paraId="0D4DC306">
      <w:pPr>
        <w:spacing w:line="360" w:lineRule="auto"/>
        <w:jc w:val="left"/>
        <w:textAlignment w:val="center"/>
        <w:rPr>
          <w:color w:val="000000"/>
        </w:rPr>
      </w:pPr>
      <w:r>
        <w:rPr>
          <w:rFonts w:ascii="宋体" w:hAnsi="宋体" w:eastAsia="宋体" w:cs="宋体"/>
          <w:color w:val="000000"/>
        </w:rPr>
        <w:t>读图分析可知，荷兰ASML生产的光刻设备配套部件由合作供应商供给，且涉及的合作供应商多，有利于加强与合作供应商的协作，A正确；由于合作供应商的分布范围广，配套部件运输费用较高，B错误；该生产模式中，关键供应商在光刻设备领域中只能专项许可给ASML使用，会增加ASML企业的产品研发成本，C错误；企业的市场风险主要受市场需求的变化、产品或服务的价格的影响，D错误。故选A。</w:t>
      </w:r>
    </w:p>
    <w:p w14:paraId="3249BD88">
      <w:pPr>
        <w:spacing w:line="360" w:lineRule="auto"/>
        <w:jc w:val="left"/>
        <w:textAlignment w:val="center"/>
        <w:rPr>
          <w:color w:val="000000"/>
        </w:rPr>
      </w:pPr>
      <w:r>
        <w:rPr>
          <w:color w:val="000000"/>
        </w:rPr>
        <w:t>【8题详解】</w:t>
      </w:r>
    </w:p>
    <w:p w14:paraId="2E5E3F95">
      <w:pPr>
        <w:spacing w:line="360" w:lineRule="auto"/>
        <w:jc w:val="left"/>
        <w:textAlignment w:val="center"/>
        <w:rPr>
          <w:color w:val="000000"/>
        </w:rPr>
      </w:pPr>
      <w:r>
        <w:rPr>
          <w:rFonts w:ascii="宋体" w:hAnsi="宋体" w:eastAsia="宋体" w:cs="宋体"/>
          <w:color w:val="000000"/>
        </w:rPr>
        <w:t>半导体光刻设备为技术密集型产业，关键部件技术含量高，研发成本高，为保护荷兰ASML在该产业链中的绝对技术优势，故要求关键供应商生产的配套部件专项供荷兰ASML使用，B正确；加快技术更新、吸引政府资助、保障部件供给不是最终目的，ACD错误。故选B。</w:t>
      </w:r>
    </w:p>
    <w:p w14:paraId="31174439">
      <w:pPr>
        <w:spacing w:line="360" w:lineRule="auto"/>
        <w:jc w:val="left"/>
        <w:textAlignment w:val="center"/>
        <w:rPr>
          <w:color w:val="000000"/>
        </w:rPr>
      </w:pPr>
      <w:r>
        <w:rPr>
          <w:color w:val="000000"/>
        </w:rPr>
        <w:t>【点睛】</w:t>
      </w:r>
      <w:r>
        <w:rPr>
          <w:rFonts w:ascii="宋体" w:hAnsi="宋体" w:eastAsia="宋体" w:cs="宋体"/>
          <w:color w:val="000000"/>
        </w:rPr>
        <w:t>工业区位是工业生产选定的地理位置以及工业生产与周围环境的关系。影响工业的区位因素分为自然和社会经济两类，自然因素有地形、水源、原料、资源等，社会经济因素有市场、科技、劳动力、交通通达度、政策、历史经验、环境、信息通达度、基础设施、产业基础、个人情感等。随着社会经济发展，工业区位因素发生着变化，原料、燃料等因素的影响减弱，市场、交通、信息技术、环境等因素的影响增强。</w:t>
      </w:r>
    </w:p>
    <w:p w14:paraId="0DBC2E90">
      <w:pPr>
        <w:spacing w:line="360" w:lineRule="auto"/>
        <w:ind w:firstLine="420"/>
        <w:jc w:val="left"/>
        <w:textAlignment w:val="center"/>
        <w:rPr>
          <w:color w:val="000000"/>
        </w:rPr>
      </w:pPr>
      <w:r>
        <w:rPr>
          <w:rFonts w:ascii="Times New Roman" w:hAnsi="Times New Roman" w:eastAsia="Times New Roman" w:cs="Times New Roman"/>
          <w:color w:val="000000"/>
        </w:rPr>
        <w:t>2024</w:t>
      </w:r>
      <w:r>
        <w:rPr>
          <w:rFonts w:ascii="楷体" w:hAnsi="楷体" w:eastAsia="楷体" w:cs="楷体"/>
          <w:color w:val="000000"/>
        </w:rPr>
        <w:t>年</w:t>
      </w:r>
      <w:r>
        <w:rPr>
          <w:rFonts w:ascii="Times New Roman" w:hAnsi="Times New Roman" w:eastAsia="Times New Roman" w:cs="Times New Roman"/>
          <w:color w:val="000000"/>
        </w:rPr>
        <w:t>4</w:t>
      </w:r>
      <w:r>
        <w:rPr>
          <w:rFonts w:ascii="楷体" w:hAnsi="楷体" w:eastAsia="楷体" w:cs="楷体"/>
          <w:color w:val="000000"/>
        </w:rPr>
        <w:t>月</w:t>
      </w:r>
      <w:r>
        <w:rPr>
          <w:rFonts w:ascii="Times New Roman" w:hAnsi="Times New Roman" w:eastAsia="Times New Roman" w:cs="Times New Roman"/>
          <w:color w:val="000000"/>
        </w:rPr>
        <w:t>19</w:t>
      </w:r>
      <w:r>
        <w:rPr>
          <w:rFonts w:ascii="楷体" w:hAnsi="楷体" w:eastAsia="楷体" w:cs="楷体"/>
          <w:color w:val="000000"/>
        </w:rPr>
        <w:t>日，飑线自西北向东南经过广东清远，天空出现一秒变绿的现象。飑线尺度较小，易带来短时间雷雨大风等强对流天气，多发生在春夏过渡季节的锋面系统暖区中。据此完成下面小题。</w:t>
      </w:r>
    </w:p>
    <w:p w14:paraId="6C5FE987">
      <w:pPr>
        <w:spacing w:line="360" w:lineRule="auto"/>
        <w:jc w:val="left"/>
        <w:textAlignment w:val="center"/>
        <w:rPr>
          <w:color w:val="000000"/>
        </w:rPr>
      </w:pPr>
      <w:r>
        <w:rPr>
          <w:color w:val="000000"/>
        </w:rPr>
        <w:t xml:space="preserve">9. </w:t>
      </w:r>
      <w:r>
        <w:rPr>
          <w:rFonts w:ascii="宋体" w:hAnsi="宋体" w:eastAsia="宋体" w:cs="宋体"/>
          <w:color w:val="000000"/>
        </w:rPr>
        <w:t>随着锋面系统的临近，暖区对流加强，主要是因为（   ）</w:t>
      </w:r>
    </w:p>
    <w:p w14:paraId="62568B73">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水汽含量上升</w:t>
      </w:r>
      <w:r>
        <w:rPr>
          <w:color w:val="000000"/>
        </w:rPr>
        <w:tab/>
      </w:r>
      <w:r>
        <w:rPr>
          <w:color w:val="000000"/>
        </w:rPr>
        <w:t xml:space="preserve">B. </w:t>
      </w:r>
      <w:r>
        <w:rPr>
          <w:rFonts w:ascii="宋体" w:hAnsi="宋体" w:eastAsia="宋体" w:cs="宋体"/>
          <w:color w:val="000000"/>
        </w:rPr>
        <w:t>地表风速加大</w:t>
      </w:r>
      <w:r>
        <w:rPr>
          <w:color w:val="000000"/>
        </w:rPr>
        <w:tab/>
      </w:r>
      <w:r>
        <w:rPr>
          <w:color w:val="000000"/>
        </w:rPr>
        <w:t xml:space="preserve">C. </w:t>
      </w:r>
      <w:r>
        <w:rPr>
          <w:rFonts w:ascii="宋体" w:hAnsi="宋体" w:eastAsia="宋体" w:cs="宋体"/>
          <w:color w:val="000000"/>
        </w:rPr>
        <w:t>气团压缩升温</w:t>
      </w:r>
      <w:r>
        <w:rPr>
          <w:color w:val="000000"/>
        </w:rPr>
        <w:tab/>
      </w:r>
      <w:r>
        <w:rPr>
          <w:color w:val="000000"/>
        </w:rPr>
        <w:t xml:space="preserve">D. </w:t>
      </w:r>
      <w:r>
        <w:rPr>
          <w:rFonts w:ascii="宋体" w:hAnsi="宋体" w:eastAsia="宋体" w:cs="宋体"/>
          <w:color w:val="000000"/>
        </w:rPr>
        <w:t>热力对比显著</w:t>
      </w:r>
    </w:p>
    <w:p w14:paraId="3D3E9E78">
      <w:pPr>
        <w:spacing w:line="360" w:lineRule="auto"/>
        <w:jc w:val="left"/>
        <w:textAlignment w:val="center"/>
        <w:rPr>
          <w:color w:val="000000"/>
        </w:rPr>
      </w:pPr>
      <w:r>
        <w:rPr>
          <w:color w:val="000000"/>
        </w:rPr>
        <w:t xml:space="preserve">10. </w:t>
      </w:r>
      <w:r>
        <w:rPr>
          <w:rFonts w:ascii="宋体" w:hAnsi="宋体" w:eastAsia="宋体" w:cs="宋体"/>
          <w:color w:val="000000"/>
        </w:rPr>
        <w:t>本次</w:t>
      </w:r>
      <w:r>
        <w:rPr>
          <w:color w:val="000000"/>
        </w:rPr>
        <w:t>飑</w:t>
      </w:r>
      <w:r>
        <w:rPr>
          <w:rFonts w:ascii="宋体" w:hAnsi="宋体" w:eastAsia="宋体" w:cs="宋体"/>
          <w:color w:val="000000"/>
        </w:rPr>
        <w:t>线的移动方向主要取决于（   ）</w:t>
      </w:r>
    </w:p>
    <w:p w14:paraId="4F42B5C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暖锋运动方向</w:t>
      </w:r>
      <w:r>
        <w:rPr>
          <w:color w:val="000000"/>
        </w:rPr>
        <w:tab/>
      </w:r>
      <w:r>
        <w:rPr>
          <w:color w:val="000000"/>
        </w:rPr>
        <w:t xml:space="preserve">B. </w:t>
      </w:r>
      <w:r>
        <w:rPr>
          <w:rFonts w:ascii="宋体" w:hAnsi="宋体" w:eastAsia="宋体" w:cs="宋体"/>
          <w:color w:val="000000"/>
        </w:rPr>
        <w:t>东北信风风向</w:t>
      </w:r>
      <w:r>
        <w:rPr>
          <w:color w:val="000000"/>
        </w:rPr>
        <w:tab/>
      </w:r>
      <w:r>
        <w:rPr>
          <w:color w:val="000000"/>
        </w:rPr>
        <w:t xml:space="preserve">C. </w:t>
      </w:r>
      <w:r>
        <w:rPr>
          <w:rFonts w:ascii="宋体" w:hAnsi="宋体" w:eastAsia="宋体" w:cs="宋体"/>
          <w:color w:val="000000"/>
        </w:rPr>
        <w:t>准静止锋移动方向</w:t>
      </w:r>
      <w:r>
        <w:rPr>
          <w:color w:val="000000"/>
        </w:rPr>
        <w:tab/>
      </w:r>
      <w:r>
        <w:rPr>
          <w:color w:val="000000"/>
        </w:rPr>
        <w:t xml:space="preserve">D. </w:t>
      </w:r>
      <w:r>
        <w:rPr>
          <w:rFonts w:ascii="宋体" w:hAnsi="宋体" w:eastAsia="宋体" w:cs="宋体"/>
          <w:color w:val="000000"/>
        </w:rPr>
        <w:t>冷锋运动方向</w:t>
      </w:r>
    </w:p>
    <w:p w14:paraId="5162A19D">
      <w:pPr>
        <w:spacing w:line="360" w:lineRule="auto"/>
        <w:textAlignment w:val="center"/>
        <w:rPr>
          <w:color w:val="000000"/>
        </w:rPr>
      </w:pPr>
      <w:r>
        <w:rPr>
          <w:color w:val="2E75B6"/>
        </w:rPr>
        <w:t>【答案】</w:t>
      </w:r>
      <w:r>
        <w:rPr>
          <w:color w:val="000000"/>
        </w:rPr>
        <w:t>9. C    10. D</w:t>
      </w:r>
    </w:p>
    <w:p w14:paraId="71E2F192">
      <w:pPr>
        <w:spacing w:line="360" w:lineRule="auto"/>
        <w:textAlignment w:val="center"/>
        <w:rPr>
          <w:color w:val="000000"/>
        </w:rPr>
      </w:pPr>
      <w:r>
        <w:rPr>
          <w:color w:val="2E75B6"/>
        </w:rPr>
        <w:t>【解析】</w:t>
      </w:r>
    </w:p>
    <w:p w14:paraId="0CF9DDEF">
      <w:pPr>
        <w:spacing w:line="360" w:lineRule="auto"/>
        <w:textAlignment w:val="center"/>
        <w:rPr>
          <w:color w:val="000000"/>
        </w:rPr>
      </w:pPr>
      <w:r>
        <w:rPr>
          <w:color w:val="000000"/>
        </w:rPr>
        <w:t>【9题详解】</w:t>
      </w:r>
    </w:p>
    <w:p w14:paraId="1CABCD16">
      <w:pPr>
        <w:spacing w:line="360" w:lineRule="auto"/>
        <w:jc w:val="left"/>
        <w:textAlignment w:val="center"/>
        <w:rPr>
          <w:color w:val="000000"/>
        </w:rPr>
      </w:pPr>
      <w:r>
        <w:rPr>
          <w:color w:val="000000"/>
        </w:rPr>
        <w:t>水汽含量不是影响对流运动的主要因素，A错误；随着冷气团临近，冷锋前的暖气团受到挤压聚集，压缩增温，热量上升，对流加强，C正确；风速加大，不会加强对流，B错误；暖区的热力性质均一，D错误。故选C。</w:t>
      </w:r>
    </w:p>
    <w:p w14:paraId="0ED7FBEA">
      <w:pPr>
        <w:spacing w:line="360" w:lineRule="auto"/>
        <w:jc w:val="left"/>
        <w:textAlignment w:val="center"/>
        <w:rPr>
          <w:color w:val="000000"/>
        </w:rPr>
      </w:pPr>
      <w:r>
        <w:rPr>
          <w:color w:val="000000"/>
        </w:rPr>
        <w:t>【10题详解】</w:t>
      </w:r>
    </w:p>
    <w:p w14:paraId="52FCE519">
      <w:pPr>
        <w:spacing w:line="360" w:lineRule="auto"/>
        <w:jc w:val="left"/>
        <w:textAlignment w:val="center"/>
        <w:rPr>
          <w:color w:val="000000"/>
        </w:rPr>
      </w:pPr>
      <w:r>
        <w:rPr>
          <w:color w:val="000000"/>
        </w:rPr>
        <w:t>该天气系统“自西北向东南经过广东清远”“强对流天气”等信息，说明该天气系统为冷锋。飑线多发生在冷锋前的暖区中，该飑线自西北向东南移动，根本上是因为冷锋自西北向东南移动，与暖锋、准静止锋和东北信风相关性较小，D正确，A、B、C错误。故选D。</w:t>
      </w:r>
    </w:p>
    <w:p w14:paraId="0C19E536">
      <w:pPr>
        <w:spacing w:line="360" w:lineRule="auto"/>
        <w:jc w:val="left"/>
        <w:textAlignment w:val="center"/>
        <w:rPr>
          <w:color w:val="000000"/>
        </w:rPr>
      </w:pPr>
      <w:r>
        <w:rPr>
          <w:color w:val="000000"/>
        </w:rPr>
        <w:t>【点睛】飑线是一种中尺度天气现象，也称为不稳定线或气压涌升线。它是一种范围较小、生命史较短的气压和风的不连续线，通常由许多‌雷暴单体（包括若干超级单体）侧向排列而形成的强对流云带。‌</w:t>
      </w:r>
    </w:p>
    <w:p w14:paraId="1FCF987B">
      <w:pPr>
        <w:spacing w:line="360" w:lineRule="auto"/>
        <w:ind w:firstLine="420"/>
        <w:jc w:val="left"/>
        <w:textAlignment w:val="center"/>
        <w:rPr>
          <w:color w:val="000000"/>
        </w:rPr>
      </w:pPr>
      <w:r>
        <w:rPr>
          <w:rFonts w:ascii="楷体" w:hAnsi="楷体" w:eastAsia="楷体" w:cs="楷体"/>
          <w:color w:val="000000"/>
        </w:rPr>
        <w:t>冰架是陆地冰川入海后浮在海上的部分。埃默里冰架位于南极印度洋扇区，其表面融化和底部的冻融影响冰架的物质平衡。在冰架、海洋和地形的共同作用下，产生的高密度陆架水驱动导致冰架底部融化。研究表明，海水结冰温度随着深度的增大而降低，深度超过百米的结冰温度要低于海面处。左图示意埃默里冰架位置范围，右图示意冰架底部冻融机制。读图，完成下面小题。</w:t>
      </w:r>
    </w:p>
    <w:p w14:paraId="30115EA4">
      <w:pPr>
        <w:spacing w:line="360" w:lineRule="auto"/>
        <w:jc w:val="left"/>
        <w:textAlignment w:val="center"/>
        <w:rPr>
          <w:color w:val="000000"/>
        </w:rPr>
      </w:pPr>
      <w:r>
        <w:rPr>
          <w:color w:val="000000"/>
        </w:rPr>
        <w:drawing>
          <wp:inline distT="0" distB="0" distL="114300" distR="114300">
            <wp:extent cx="3667125" cy="15049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667125" cy="1504950"/>
                    </a:xfrm>
                    <a:prstGeom prst="rect">
                      <a:avLst/>
                    </a:prstGeom>
                  </pic:spPr>
                </pic:pic>
              </a:graphicData>
            </a:graphic>
          </wp:inline>
        </w:drawing>
      </w:r>
    </w:p>
    <w:p w14:paraId="12EB11AC">
      <w:pPr>
        <w:spacing w:line="360" w:lineRule="auto"/>
        <w:jc w:val="left"/>
        <w:textAlignment w:val="center"/>
        <w:rPr>
          <w:color w:val="000000"/>
        </w:rPr>
      </w:pPr>
      <w:r>
        <w:rPr>
          <w:color w:val="000000"/>
        </w:rPr>
        <w:t xml:space="preserve">11. </w:t>
      </w:r>
      <w:r>
        <w:rPr>
          <w:rFonts w:ascii="宋体" w:hAnsi="宋体" w:eastAsia="宋体" w:cs="宋体"/>
          <w:color w:val="000000"/>
        </w:rPr>
        <w:t>关于甲、乙两地冰架表面的融化速率快慢及主要原因的说法，正确的是（   ）</w:t>
      </w:r>
    </w:p>
    <w:p w14:paraId="36BDF9D1">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甲快，甲地纬度较低</w:t>
      </w:r>
      <w:r>
        <w:rPr>
          <w:color w:val="000000"/>
        </w:rPr>
        <w:tab/>
      </w:r>
      <w:r>
        <w:rPr>
          <w:color w:val="000000"/>
        </w:rPr>
        <w:t xml:space="preserve">B. </w:t>
      </w:r>
      <w:r>
        <w:rPr>
          <w:rFonts w:ascii="宋体" w:hAnsi="宋体" w:eastAsia="宋体" w:cs="宋体"/>
          <w:color w:val="000000"/>
        </w:rPr>
        <w:t>甲快，相对靠近陆地</w:t>
      </w:r>
    </w:p>
    <w:p w14:paraId="48614641">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乙快，海拔相对较低</w:t>
      </w:r>
      <w:r>
        <w:rPr>
          <w:color w:val="000000"/>
        </w:rPr>
        <w:tab/>
      </w:r>
      <w:r>
        <w:rPr>
          <w:color w:val="000000"/>
        </w:rPr>
        <w:t xml:space="preserve">D. </w:t>
      </w:r>
      <w:r>
        <w:rPr>
          <w:rFonts w:ascii="宋体" w:hAnsi="宋体" w:eastAsia="宋体" w:cs="宋体"/>
          <w:color w:val="000000"/>
        </w:rPr>
        <w:t>乙快，极地东风较暖</w:t>
      </w:r>
    </w:p>
    <w:p w14:paraId="20529EF7">
      <w:pPr>
        <w:spacing w:line="360" w:lineRule="auto"/>
        <w:jc w:val="left"/>
        <w:textAlignment w:val="center"/>
        <w:rPr>
          <w:color w:val="000000"/>
        </w:rPr>
      </w:pPr>
      <w:r>
        <w:rPr>
          <w:color w:val="000000"/>
        </w:rPr>
        <w:t xml:space="preserve">12. </w:t>
      </w:r>
      <w:r>
        <w:rPr>
          <w:rFonts w:ascii="宋体" w:hAnsi="宋体" w:eastAsia="宋体" w:cs="宋体"/>
          <w:color w:val="000000"/>
        </w:rPr>
        <w:t>结合右图冰架冻融机制，其作用过程排序正确的是（   ）</w:t>
      </w:r>
    </w:p>
    <w:p w14:paraId="152442A6">
      <w:pPr>
        <w:spacing w:line="360" w:lineRule="auto"/>
        <w:jc w:val="left"/>
        <w:textAlignment w:val="center"/>
        <w:rPr>
          <w:color w:val="000000"/>
        </w:rPr>
      </w:pPr>
      <w:r>
        <w:rPr>
          <w:rFonts w:ascii="宋体" w:hAnsi="宋体" w:eastAsia="宋体" w:cs="宋体"/>
          <w:color w:val="000000"/>
        </w:rPr>
        <w:t>①高密度陆架水下沉</w:t>
      </w:r>
      <w:r>
        <w:rPr>
          <w:rFonts w:ascii="Times New Roman" w:hAnsi="Times New Roman" w:eastAsia="Times New Roman" w:cs="Times New Roman"/>
          <w:color w:val="000000"/>
        </w:rPr>
        <w:t xml:space="preserve">  </w:t>
      </w:r>
      <w:r>
        <w:rPr>
          <w:rFonts w:ascii="宋体" w:hAnsi="宋体" w:eastAsia="宋体" w:cs="宋体"/>
          <w:color w:val="000000"/>
        </w:rPr>
        <w:t>②冬季表层海水结冰析盐</w:t>
      </w:r>
      <w:r>
        <w:rPr>
          <w:rFonts w:ascii="Times New Roman" w:hAnsi="Times New Roman" w:eastAsia="Times New Roman" w:cs="Times New Roman"/>
          <w:color w:val="000000"/>
        </w:rPr>
        <w:t xml:space="preserve">  </w:t>
      </w:r>
      <w:r>
        <w:rPr>
          <w:rFonts w:ascii="宋体" w:hAnsi="宋体" w:eastAsia="宋体" w:cs="宋体"/>
          <w:color w:val="000000"/>
        </w:rPr>
        <w:t>③冰架入海加速</w:t>
      </w:r>
      <w:r>
        <w:rPr>
          <w:rFonts w:ascii="Times New Roman" w:hAnsi="Times New Roman" w:eastAsia="Times New Roman" w:cs="Times New Roman"/>
          <w:color w:val="000000"/>
        </w:rPr>
        <w:t xml:space="preserve">  </w:t>
      </w:r>
      <w:r>
        <w:rPr>
          <w:rFonts w:ascii="宋体" w:hAnsi="宋体" w:eastAsia="宋体" w:cs="宋体"/>
          <w:color w:val="000000"/>
        </w:rPr>
        <w:t>④高密度陆架水融化底部冰架</w:t>
      </w:r>
    </w:p>
    <w:p w14:paraId="1A381F1A">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②①③④</w:t>
      </w:r>
      <w:r>
        <w:rPr>
          <w:color w:val="000000"/>
        </w:rPr>
        <w:tab/>
      </w:r>
      <w:r>
        <w:rPr>
          <w:color w:val="000000"/>
        </w:rPr>
        <w:t xml:space="preserve">B. </w:t>
      </w:r>
      <w:r>
        <w:rPr>
          <w:rFonts w:ascii="宋体" w:hAnsi="宋体" w:eastAsia="宋体" w:cs="宋体"/>
          <w:color w:val="000000"/>
        </w:rPr>
        <w:t>②①④③</w:t>
      </w:r>
      <w:r>
        <w:rPr>
          <w:color w:val="000000"/>
        </w:rPr>
        <w:tab/>
      </w:r>
      <w:r>
        <w:rPr>
          <w:color w:val="000000"/>
        </w:rPr>
        <w:t xml:space="preserve">C. </w:t>
      </w:r>
      <w:r>
        <w:rPr>
          <w:rFonts w:ascii="宋体" w:hAnsi="宋体" w:eastAsia="宋体" w:cs="宋体"/>
          <w:color w:val="000000"/>
        </w:rPr>
        <w:t>③①②④</w:t>
      </w:r>
      <w:r>
        <w:rPr>
          <w:color w:val="000000"/>
        </w:rPr>
        <w:tab/>
      </w:r>
      <w:r>
        <w:rPr>
          <w:color w:val="000000"/>
        </w:rPr>
        <w:t xml:space="preserve">D. </w:t>
      </w:r>
      <w:r>
        <w:rPr>
          <w:rFonts w:ascii="宋体" w:hAnsi="宋体" w:eastAsia="宋体" w:cs="宋体"/>
          <w:color w:val="000000"/>
        </w:rPr>
        <w:t>③②④①</w:t>
      </w:r>
    </w:p>
    <w:p w14:paraId="7F090086">
      <w:pPr>
        <w:spacing w:line="360" w:lineRule="auto"/>
        <w:jc w:val="left"/>
        <w:textAlignment w:val="center"/>
        <w:rPr>
          <w:color w:val="000000"/>
        </w:rPr>
      </w:pPr>
      <w:r>
        <w:rPr>
          <w:color w:val="000000"/>
        </w:rPr>
        <w:t xml:space="preserve">13. </w:t>
      </w:r>
      <w:r>
        <w:rPr>
          <w:rFonts w:ascii="宋体" w:hAnsi="宋体" w:eastAsia="宋体" w:cs="宋体"/>
          <w:color w:val="000000"/>
        </w:rPr>
        <w:t>关于冰架水促进冰架增长的原因的说法，正确的是（   ）</w:t>
      </w:r>
    </w:p>
    <w:p w14:paraId="382471BF">
      <w:pPr>
        <w:spacing w:line="360" w:lineRule="auto"/>
        <w:jc w:val="left"/>
        <w:textAlignment w:val="center"/>
        <w:rPr>
          <w:color w:val="000000"/>
        </w:rPr>
      </w:pPr>
      <w:r>
        <w:rPr>
          <w:color w:val="000000"/>
        </w:rPr>
        <w:t xml:space="preserve">A. </w:t>
      </w:r>
      <w:r>
        <w:rPr>
          <w:rFonts w:ascii="宋体" w:hAnsi="宋体" w:eastAsia="宋体" w:cs="宋体"/>
          <w:color w:val="000000"/>
        </w:rPr>
        <w:t>冰架水上升中受冰架冷却，温度降低</w:t>
      </w:r>
    </w:p>
    <w:p w14:paraId="18CD6E68">
      <w:pPr>
        <w:spacing w:line="360" w:lineRule="auto"/>
        <w:jc w:val="left"/>
        <w:textAlignment w:val="center"/>
        <w:rPr>
          <w:color w:val="000000"/>
        </w:rPr>
      </w:pPr>
      <w:r>
        <w:rPr>
          <w:color w:val="000000"/>
        </w:rPr>
        <w:t xml:space="preserve">B. </w:t>
      </w:r>
      <w:r>
        <w:rPr>
          <w:rFonts w:ascii="宋体" w:hAnsi="宋体" w:eastAsia="宋体" w:cs="宋体"/>
          <w:color w:val="000000"/>
        </w:rPr>
        <w:t>冰架水密度大稳定在底部，保持低温</w:t>
      </w:r>
    </w:p>
    <w:p w14:paraId="67DEEC4C">
      <w:pPr>
        <w:spacing w:line="360" w:lineRule="auto"/>
        <w:jc w:val="left"/>
        <w:textAlignment w:val="center"/>
        <w:rPr>
          <w:color w:val="000000"/>
        </w:rPr>
      </w:pPr>
      <w:r>
        <w:rPr>
          <w:color w:val="000000"/>
        </w:rPr>
        <w:t xml:space="preserve">C. </w:t>
      </w:r>
      <w:r>
        <w:rPr>
          <w:rFonts w:ascii="宋体" w:hAnsi="宋体" w:eastAsia="宋体" w:cs="宋体"/>
          <w:color w:val="000000"/>
        </w:rPr>
        <w:t>冰架水盐度高密度大，相对容易结冰</w:t>
      </w:r>
    </w:p>
    <w:p w14:paraId="0C73F40A">
      <w:pPr>
        <w:spacing w:line="360" w:lineRule="auto"/>
        <w:jc w:val="left"/>
        <w:textAlignment w:val="center"/>
        <w:rPr>
          <w:color w:val="000000"/>
        </w:rPr>
      </w:pPr>
      <w:r>
        <w:rPr>
          <w:color w:val="000000"/>
        </w:rPr>
        <w:t xml:space="preserve">D. </w:t>
      </w:r>
      <w:r>
        <w:rPr>
          <w:rFonts w:ascii="宋体" w:hAnsi="宋体" w:eastAsia="宋体" w:cs="宋体"/>
          <w:color w:val="000000"/>
        </w:rPr>
        <w:t>冰架水密度小上升后，海水冰点降低</w:t>
      </w:r>
    </w:p>
    <w:p w14:paraId="38AC40A5">
      <w:pPr>
        <w:spacing w:line="360" w:lineRule="auto"/>
        <w:textAlignment w:val="center"/>
        <w:rPr>
          <w:color w:val="000000"/>
        </w:rPr>
      </w:pPr>
      <w:r>
        <w:rPr>
          <w:color w:val="2E75B6"/>
        </w:rPr>
        <w:t>【答案】</w:t>
      </w:r>
      <w:r>
        <w:rPr>
          <w:color w:val="000000"/>
        </w:rPr>
        <w:t>11. D    12. B    13. A</w:t>
      </w:r>
    </w:p>
    <w:p w14:paraId="4E5712E7">
      <w:pPr>
        <w:spacing w:line="360" w:lineRule="auto"/>
        <w:textAlignment w:val="center"/>
        <w:rPr>
          <w:color w:val="000000"/>
        </w:rPr>
      </w:pPr>
      <w:r>
        <w:rPr>
          <w:color w:val="2E75B6"/>
        </w:rPr>
        <w:t>【解析】</w:t>
      </w:r>
    </w:p>
    <w:p w14:paraId="3FE37FFC">
      <w:pPr>
        <w:spacing w:line="360" w:lineRule="auto"/>
        <w:textAlignment w:val="center"/>
        <w:rPr>
          <w:color w:val="000000"/>
        </w:rPr>
      </w:pPr>
      <w:r>
        <w:rPr>
          <w:color w:val="000000"/>
        </w:rPr>
        <w:t>【11题详解】</w:t>
      </w:r>
    </w:p>
    <w:p w14:paraId="18CB6E90">
      <w:pPr>
        <w:spacing w:line="360" w:lineRule="auto"/>
        <w:jc w:val="left"/>
        <w:textAlignment w:val="center"/>
        <w:rPr>
          <w:color w:val="000000"/>
        </w:rPr>
      </w:pPr>
      <w:r>
        <w:rPr>
          <w:rFonts w:ascii="宋体" w:hAnsi="宋体" w:eastAsia="宋体" w:cs="宋体"/>
          <w:color w:val="000000"/>
        </w:rPr>
        <w:t xml:space="preserve">当地盛行极地东风，为东南风。甲地在冰架西侧，在地转偏向力的作用下，冰架西侧的甲地受到南极严寒的南极下降风影响，冰架表面气温低、表面融化少；而冰架东侧的乙地，东南风从海洋吹来，受海洋的影响，东南风更为温暖，有利于乙地冰架表面融化，故冰架表面乙地融化速率大于甲地。甲、乙两地纬度相差小，海拔无法判断，甲地虽然靠近陆地，南极陆地同样为永久冰川覆盖，气温低，不利于甲地冰架融化，故D正确，A、B、C错误。故选D。 </w:t>
      </w:r>
    </w:p>
    <w:p w14:paraId="1D88A50A">
      <w:pPr>
        <w:spacing w:line="360" w:lineRule="auto"/>
        <w:jc w:val="left"/>
        <w:textAlignment w:val="center"/>
        <w:rPr>
          <w:color w:val="000000"/>
        </w:rPr>
      </w:pPr>
      <w:r>
        <w:rPr>
          <w:color w:val="000000"/>
        </w:rPr>
        <w:t>【12题详解】</w:t>
      </w:r>
    </w:p>
    <w:p w14:paraId="4A740355">
      <w:pPr>
        <w:spacing w:line="360" w:lineRule="auto"/>
        <w:jc w:val="left"/>
        <w:textAlignment w:val="center"/>
        <w:rPr>
          <w:color w:val="000000"/>
        </w:rPr>
      </w:pPr>
      <w:r>
        <w:rPr>
          <w:rFonts w:ascii="宋体" w:hAnsi="宋体" w:eastAsia="宋体" w:cs="宋体"/>
          <w:color w:val="000000"/>
        </w:rPr>
        <w:t>结合右图冰架冻融机制，冬季表层海水冷却和结冰析盐，使得表层海水盐度增大，密度增大，平直下沉，形成高密度陆架水；下沉的高密度陆架水沿着海底大陆架进入冰架底部；高密度陆架水的温度较高，融化冰点低的底部冰架；冰架底部融化导致对上部支撑作用减弱，加速了冰架入海，故其作用过程排序正确的是②①④③，B正确，ACD错误。故选B。</w:t>
      </w:r>
    </w:p>
    <w:p w14:paraId="1AB2C52A">
      <w:pPr>
        <w:spacing w:line="360" w:lineRule="auto"/>
        <w:jc w:val="left"/>
        <w:textAlignment w:val="center"/>
        <w:rPr>
          <w:color w:val="000000"/>
        </w:rPr>
      </w:pPr>
      <w:r>
        <w:rPr>
          <w:color w:val="000000"/>
        </w:rPr>
        <w:t>【13题详解】</w:t>
      </w:r>
    </w:p>
    <w:p w14:paraId="093646FE">
      <w:pPr>
        <w:spacing w:line="360" w:lineRule="auto"/>
        <w:jc w:val="left"/>
        <w:textAlignment w:val="center"/>
        <w:rPr>
          <w:color w:val="000000"/>
        </w:rPr>
      </w:pPr>
      <w:r>
        <w:rPr>
          <w:rFonts w:ascii="宋体" w:hAnsi="宋体" w:eastAsia="宋体" w:cs="宋体"/>
          <w:color w:val="000000"/>
        </w:rPr>
        <w:t>由于冰架形成过程中盐分被析出，因此冰架底部融化形成的冰架水温度低、盐度低、密度小；冰架水的密度小，在上升过程中受到冰架的冷却作用，温度进一步降低；随着深度减少，海水的冰点升高，故低温、低盐的冰架水易在冰架底部结冰，促进冰架增长，A正确，BCD错误。故选A。</w:t>
      </w:r>
    </w:p>
    <w:p w14:paraId="2FEDB2AF">
      <w:pPr>
        <w:spacing w:line="360" w:lineRule="auto"/>
        <w:jc w:val="left"/>
        <w:textAlignment w:val="center"/>
        <w:rPr>
          <w:color w:val="000000"/>
        </w:rPr>
      </w:pPr>
      <w:r>
        <w:rPr>
          <w:color w:val="000000"/>
        </w:rPr>
        <w:t>【点睛】</w:t>
      </w:r>
      <w:r>
        <w:rPr>
          <w:rFonts w:ascii="宋体" w:hAnsi="宋体" w:eastAsia="宋体" w:cs="宋体"/>
          <w:color w:val="000000"/>
        </w:rPr>
        <w:t>冰架是指陆地冰与大陆架相连的冰体（如北极冰架），延伸到海洋的那部分。崩解后的冰架成为冰山，或者可以说冰山的来源就是冰架崩解。冰架有大有小，大的冰架可达数万平方公里。两极地区是冰架最为集中的地区。冰架崩解是一种自然现象。</w:t>
      </w:r>
    </w:p>
    <w:p w14:paraId="56EDFF90">
      <w:pPr>
        <w:spacing w:line="360" w:lineRule="auto"/>
        <w:ind w:firstLine="420"/>
        <w:jc w:val="left"/>
        <w:textAlignment w:val="center"/>
        <w:rPr>
          <w:color w:val="000000"/>
        </w:rPr>
      </w:pPr>
      <w:r>
        <w:rPr>
          <w:rFonts w:ascii="楷体" w:hAnsi="楷体" w:eastAsia="楷体" w:cs="楷体"/>
          <w:color w:val="000000"/>
        </w:rPr>
        <w:t>林线是指高度大于</w:t>
      </w:r>
      <w:r>
        <w:rPr>
          <w:rFonts w:ascii="Times New Roman" w:hAnsi="Times New Roman" w:eastAsia="Times New Roman" w:cs="Times New Roman"/>
          <w:color w:val="000000"/>
        </w:rPr>
        <w:t>5</w:t>
      </w:r>
      <w:r>
        <w:rPr>
          <w:rFonts w:ascii="楷体" w:hAnsi="楷体" w:eastAsia="楷体" w:cs="楷体"/>
          <w:color w:val="000000"/>
        </w:rPr>
        <w:t>米且冠层覆盖度大于</w:t>
      </w:r>
      <w:r>
        <w:rPr>
          <w:rFonts w:ascii="Times New Roman" w:hAnsi="Times New Roman" w:eastAsia="Times New Roman" w:cs="Times New Roman"/>
          <w:color w:val="000000"/>
        </w:rPr>
        <w:t>30%</w:t>
      </w:r>
      <w:r>
        <w:rPr>
          <w:rFonts w:ascii="楷体" w:hAnsi="楷体" w:eastAsia="楷体" w:cs="楷体"/>
          <w:color w:val="000000"/>
        </w:rPr>
        <w:t>的茂密森林分布的海拔或纬度上限，树种线是指树种个体分布的海拔或纬度上限。树线位于林线和树种线之间，指高度大于</w:t>
      </w:r>
      <w:r>
        <w:rPr>
          <w:rFonts w:ascii="Times New Roman" w:hAnsi="Times New Roman" w:eastAsia="Times New Roman" w:cs="Times New Roman"/>
          <w:color w:val="000000"/>
        </w:rPr>
        <w:t>2</w:t>
      </w:r>
      <w:r>
        <w:rPr>
          <w:rFonts w:ascii="楷体" w:hAnsi="楷体" w:eastAsia="楷体" w:cs="楷体"/>
          <w:color w:val="000000"/>
        </w:rPr>
        <w:t>米的直立树木分布的海拔或纬度上限。林线和树种线的交接地带被称为树线过渡带，过渡带内以树苗为主。色季拉山位于雅鲁藏布江大拐弯西北侧，近</w:t>
      </w:r>
      <w:r>
        <w:rPr>
          <w:rFonts w:ascii="Times New Roman" w:hAnsi="Times New Roman" w:eastAsia="Times New Roman" w:cs="Times New Roman"/>
          <w:color w:val="000000"/>
        </w:rPr>
        <w:t>200</w:t>
      </w:r>
      <w:r>
        <w:rPr>
          <w:rFonts w:ascii="楷体" w:hAnsi="楷体" w:eastAsia="楷体" w:cs="楷体"/>
          <w:color w:val="000000"/>
        </w:rPr>
        <w:t>年来，色季拉山树线过渡带内树苗数量有较明显增加，但树线位置波动不明显。左图示意树线过渡带结构，右图示意色季拉山地理位置。读图，完成下面小题。</w:t>
      </w:r>
    </w:p>
    <w:p w14:paraId="76D5E5E0">
      <w:pPr>
        <w:spacing w:line="360" w:lineRule="auto"/>
        <w:jc w:val="left"/>
        <w:textAlignment w:val="center"/>
        <w:rPr>
          <w:color w:val="000000"/>
        </w:rPr>
      </w:pPr>
      <w:r>
        <w:rPr>
          <w:color w:val="000000"/>
        </w:rPr>
        <w:drawing>
          <wp:inline distT="0" distB="0" distL="114300" distR="114300">
            <wp:extent cx="3733800" cy="14763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733800" cy="1476375"/>
                    </a:xfrm>
                    <a:prstGeom prst="rect">
                      <a:avLst/>
                    </a:prstGeom>
                  </pic:spPr>
                </pic:pic>
              </a:graphicData>
            </a:graphic>
          </wp:inline>
        </w:drawing>
      </w:r>
    </w:p>
    <w:p w14:paraId="62A02E05">
      <w:pPr>
        <w:spacing w:line="360" w:lineRule="auto"/>
        <w:jc w:val="left"/>
        <w:textAlignment w:val="center"/>
        <w:rPr>
          <w:color w:val="000000"/>
        </w:rPr>
      </w:pPr>
      <w:r>
        <w:rPr>
          <w:color w:val="000000"/>
        </w:rPr>
        <w:t xml:space="preserve">14. </w:t>
      </w:r>
      <w:r>
        <w:rPr>
          <w:rFonts w:ascii="宋体" w:hAnsi="宋体" w:eastAsia="宋体" w:cs="宋体"/>
          <w:color w:val="000000"/>
        </w:rPr>
        <w:t>监测色季拉山近十年树线变化主要用到的地理信息技术是（   ）</w:t>
      </w:r>
    </w:p>
    <w:p w14:paraId="0A41B9C5">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RS</w:t>
      </w:r>
      <w:r>
        <w:rPr>
          <w:color w:val="000000"/>
        </w:rPr>
        <w:tab/>
      </w:r>
      <w:r>
        <w:rPr>
          <w:color w:val="000000"/>
        </w:rPr>
        <w:t xml:space="preserve">B. </w:t>
      </w:r>
      <w:r>
        <w:rPr>
          <w:rFonts w:ascii="Times New Roman" w:hAnsi="Times New Roman" w:eastAsia="Times New Roman" w:cs="Times New Roman"/>
          <w:color w:val="000000"/>
        </w:rPr>
        <w:t>GIS</w:t>
      </w:r>
      <w:r>
        <w:rPr>
          <w:color w:val="000000"/>
        </w:rPr>
        <w:tab/>
      </w:r>
      <w:r>
        <w:rPr>
          <w:color w:val="000000"/>
        </w:rPr>
        <w:t xml:space="preserve">C. </w:t>
      </w:r>
      <w:r>
        <w:rPr>
          <w:rFonts w:ascii="Times New Roman" w:hAnsi="Times New Roman" w:eastAsia="Times New Roman" w:cs="Times New Roman"/>
          <w:color w:val="000000"/>
        </w:rPr>
        <w:t>GNSS</w:t>
      </w:r>
      <w:r>
        <w:rPr>
          <w:color w:val="000000"/>
        </w:rPr>
        <w:tab/>
      </w:r>
      <w:r>
        <w:rPr>
          <w:color w:val="000000"/>
        </w:rPr>
        <w:t xml:space="preserve">D. </w:t>
      </w:r>
      <w:r>
        <w:rPr>
          <w:rFonts w:ascii="Times New Roman" w:hAnsi="Times New Roman" w:eastAsia="Times New Roman" w:cs="Times New Roman"/>
          <w:color w:val="000000"/>
        </w:rPr>
        <w:t>BDS</w:t>
      </w:r>
    </w:p>
    <w:p w14:paraId="7DDB5AD8">
      <w:pPr>
        <w:spacing w:line="360" w:lineRule="auto"/>
        <w:jc w:val="left"/>
        <w:textAlignment w:val="center"/>
        <w:rPr>
          <w:color w:val="000000"/>
        </w:rPr>
      </w:pPr>
      <w:r>
        <w:rPr>
          <w:color w:val="000000"/>
        </w:rPr>
        <w:t xml:space="preserve">15. </w:t>
      </w:r>
      <w:r>
        <w:rPr>
          <w:rFonts w:ascii="宋体" w:hAnsi="宋体" w:eastAsia="宋体" w:cs="宋体"/>
          <w:color w:val="000000"/>
        </w:rPr>
        <w:t>随着全球气候变暖，色季拉山树线过渡带（   ）</w:t>
      </w:r>
    </w:p>
    <w:p w14:paraId="31C8C735">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到达地面太阳辐射增强</w:t>
      </w:r>
      <w:r>
        <w:rPr>
          <w:color w:val="000000"/>
        </w:rPr>
        <w:tab/>
      </w:r>
      <w:r>
        <w:rPr>
          <w:color w:val="000000"/>
        </w:rPr>
        <w:t xml:space="preserve">B. </w:t>
      </w:r>
      <w:r>
        <w:rPr>
          <w:rFonts w:ascii="宋体" w:hAnsi="宋体" w:eastAsia="宋体" w:cs="宋体"/>
          <w:color w:val="000000"/>
        </w:rPr>
        <w:t>土壤有机质消耗增加</w:t>
      </w:r>
    </w:p>
    <w:p w14:paraId="7CB24967">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区域大气降水显著增多</w:t>
      </w:r>
      <w:r>
        <w:rPr>
          <w:color w:val="000000"/>
        </w:rPr>
        <w:tab/>
      </w:r>
      <w:r>
        <w:rPr>
          <w:color w:val="000000"/>
        </w:rPr>
        <w:t xml:space="preserve">D. </w:t>
      </w:r>
      <w:r>
        <w:rPr>
          <w:rFonts w:ascii="宋体" w:hAnsi="宋体" w:eastAsia="宋体" w:cs="宋体"/>
          <w:color w:val="000000"/>
        </w:rPr>
        <w:t>土壤盐渍化明显加剧</w:t>
      </w:r>
    </w:p>
    <w:p w14:paraId="0EEB7322">
      <w:pPr>
        <w:spacing w:line="360" w:lineRule="auto"/>
        <w:jc w:val="left"/>
        <w:textAlignment w:val="center"/>
        <w:rPr>
          <w:color w:val="000000"/>
        </w:rPr>
      </w:pPr>
      <w:r>
        <w:rPr>
          <w:color w:val="000000"/>
        </w:rPr>
        <w:t xml:space="preserve">16. </w:t>
      </w:r>
      <w:r>
        <w:rPr>
          <w:rFonts w:ascii="宋体" w:hAnsi="宋体" w:eastAsia="宋体" w:cs="宋体"/>
          <w:color w:val="000000"/>
        </w:rPr>
        <w:t>近</w:t>
      </w:r>
      <w:r>
        <w:rPr>
          <w:rFonts w:ascii="Times New Roman" w:hAnsi="Times New Roman" w:eastAsia="Times New Roman" w:cs="Times New Roman"/>
          <w:color w:val="000000"/>
        </w:rPr>
        <w:t>200</w:t>
      </w:r>
      <w:r>
        <w:rPr>
          <w:rFonts w:ascii="宋体" w:hAnsi="宋体" w:eastAsia="宋体" w:cs="宋体"/>
          <w:color w:val="000000"/>
        </w:rPr>
        <w:t>年来，色季拉山树线位置波动不明显的原因最可能是（   ）</w:t>
      </w:r>
    </w:p>
    <w:p w14:paraId="050B61E6">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高山带成土速度较为缓慢</w:t>
      </w:r>
      <w:r>
        <w:rPr>
          <w:color w:val="000000"/>
        </w:rPr>
        <w:tab/>
      </w:r>
      <w:r>
        <w:rPr>
          <w:color w:val="000000"/>
        </w:rPr>
        <w:t xml:space="preserve">B. </w:t>
      </w:r>
      <w:r>
        <w:rPr>
          <w:rFonts w:ascii="宋体" w:hAnsi="宋体" w:eastAsia="宋体" w:cs="宋体"/>
          <w:color w:val="000000"/>
        </w:rPr>
        <w:t>雪线与树线海拔差距大</w:t>
      </w:r>
    </w:p>
    <w:p w14:paraId="69349C9B">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树线过渡带内冻土分布多</w:t>
      </w:r>
      <w:r>
        <w:rPr>
          <w:color w:val="000000"/>
        </w:rPr>
        <w:tab/>
      </w:r>
      <w:r>
        <w:rPr>
          <w:color w:val="000000"/>
        </w:rPr>
        <w:t xml:space="preserve">D. </w:t>
      </w:r>
      <w:r>
        <w:rPr>
          <w:rFonts w:ascii="宋体" w:hAnsi="宋体" w:eastAsia="宋体" w:cs="宋体"/>
          <w:color w:val="000000"/>
        </w:rPr>
        <w:t>生长期内低温冻害多发</w:t>
      </w:r>
    </w:p>
    <w:p w14:paraId="425AC58D">
      <w:pPr>
        <w:spacing w:line="360" w:lineRule="auto"/>
        <w:textAlignment w:val="center"/>
        <w:rPr>
          <w:color w:val="000000"/>
        </w:rPr>
      </w:pPr>
      <w:r>
        <w:rPr>
          <w:color w:val="2E75B6"/>
        </w:rPr>
        <w:t>【答案】</w:t>
      </w:r>
      <w:r>
        <w:rPr>
          <w:color w:val="000000"/>
        </w:rPr>
        <w:t>14. A    15. B    16. D</w:t>
      </w:r>
    </w:p>
    <w:p w14:paraId="7391D292">
      <w:pPr>
        <w:spacing w:line="360" w:lineRule="auto"/>
        <w:textAlignment w:val="center"/>
        <w:rPr>
          <w:color w:val="000000"/>
        </w:rPr>
      </w:pPr>
      <w:r>
        <w:rPr>
          <w:color w:val="2E75B6"/>
        </w:rPr>
        <w:t>【解析】</w:t>
      </w:r>
    </w:p>
    <w:p w14:paraId="1CF61C24">
      <w:pPr>
        <w:spacing w:line="360" w:lineRule="auto"/>
        <w:textAlignment w:val="center"/>
        <w:rPr>
          <w:color w:val="000000"/>
        </w:rPr>
      </w:pPr>
      <w:r>
        <w:rPr>
          <w:color w:val="000000"/>
        </w:rPr>
        <w:t>【14题详解】</w:t>
      </w:r>
    </w:p>
    <w:p w14:paraId="434C97AE">
      <w:pPr>
        <w:spacing w:line="360" w:lineRule="auto"/>
        <w:jc w:val="left"/>
        <w:textAlignment w:val="center"/>
        <w:rPr>
          <w:color w:val="000000"/>
        </w:rPr>
      </w:pPr>
      <w:r>
        <w:rPr>
          <w:color w:val="000000"/>
        </w:rPr>
        <w:t>RS是遥感，能够获取地物信息，监测色季拉山近十年树线位置波动变化可以利用遥感技术（RS），通过对近十年来色季拉山遥感影像对比即可得出其树线变化特征，A正确；GIS、GNSS、BDS都没有监测功能，B、C、D错误。故选A。</w:t>
      </w:r>
    </w:p>
    <w:p w14:paraId="5DFCE90F">
      <w:pPr>
        <w:spacing w:line="360" w:lineRule="auto"/>
        <w:jc w:val="left"/>
        <w:textAlignment w:val="center"/>
        <w:rPr>
          <w:color w:val="000000"/>
        </w:rPr>
      </w:pPr>
      <w:r>
        <w:rPr>
          <w:color w:val="000000"/>
        </w:rPr>
        <w:t>【15题详解】</w:t>
      </w:r>
    </w:p>
    <w:p w14:paraId="2482101A">
      <w:pPr>
        <w:spacing w:line="360" w:lineRule="auto"/>
        <w:jc w:val="left"/>
        <w:textAlignment w:val="center"/>
        <w:rPr>
          <w:color w:val="000000"/>
        </w:rPr>
      </w:pPr>
      <w:r>
        <w:rPr>
          <w:color w:val="000000"/>
        </w:rPr>
        <w:t>随着全球气候变暖，色季拉山树线过渡带内气温升高，有利于植被生长，消耗土壤有机质，且因地温升高，土壤微生物活跃，分解有机质速度快，加速土壤有机质消耗，B正确；全球气候变暖有利于植物</w:t>
      </w:r>
      <w:r>
        <w:rPr>
          <w:color w:val="000000"/>
          <w:position w:val="0"/>
        </w:rPr>
        <w:drawing>
          <wp:inline distT="0" distB="0" distL="114300" distR="114300">
            <wp:extent cx="133350" cy="177800"/>
            <wp:effectExtent l="0" t="0" r="0" b="1333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2"/>
                    <a:stretch>
                      <a:fillRect/>
                    </a:stretch>
                  </pic:blipFill>
                  <pic:spPr>
                    <a:xfrm>
                      <a:off x="0" y="0"/>
                      <a:ext cx="133350" cy="177800"/>
                    </a:xfrm>
                    <a:prstGeom prst="rect">
                      <a:avLst/>
                    </a:prstGeom>
                  </pic:spPr>
                </pic:pic>
              </a:graphicData>
            </a:graphic>
          </wp:inline>
        </w:drawing>
      </w:r>
      <w:r>
        <w:rPr>
          <w:color w:val="000000"/>
        </w:rPr>
        <w:t>生长，植被覆盖率增加，到达地面的太阳辐射减少，A错误；无法判断该地降水的变化，C错误；该地降水较多，土壤淋溶作用较强，土壤盐渍化程度不会明显加剧，D错误。故选B。</w:t>
      </w:r>
    </w:p>
    <w:p w14:paraId="4D88406B">
      <w:pPr>
        <w:spacing w:line="360" w:lineRule="auto"/>
        <w:jc w:val="left"/>
        <w:textAlignment w:val="center"/>
        <w:rPr>
          <w:color w:val="000000"/>
        </w:rPr>
      </w:pPr>
      <w:r>
        <w:rPr>
          <w:color w:val="000000"/>
        </w:rPr>
        <w:t>【16题详解】</w:t>
      </w:r>
    </w:p>
    <w:p w14:paraId="324CF9ED">
      <w:pPr>
        <w:spacing w:line="360" w:lineRule="auto"/>
        <w:jc w:val="left"/>
        <w:textAlignment w:val="center"/>
        <w:rPr>
          <w:color w:val="000000"/>
        </w:rPr>
      </w:pPr>
      <w:r>
        <w:rPr>
          <w:color w:val="000000"/>
        </w:rPr>
        <w:t>随着全球气候变暖，树木生长季提前，冻害事件加剧，树苗受低温冻害影响，死亡率显著增加，大多难以长为树木，造成树线位置波动不明显，D正确；成土速度不是影响树线分布的主要因素，A错误；树线位于林线和树种线之间，指高度大于2米的直立树木分布的海拔或纬度上限，小树长成大树受雪线和冻土影响较小，B、C错误。故选D。</w:t>
      </w:r>
    </w:p>
    <w:p w14:paraId="5B61AE7F">
      <w:pPr>
        <w:spacing w:line="360" w:lineRule="auto"/>
        <w:jc w:val="left"/>
        <w:textAlignment w:val="center"/>
        <w:rPr>
          <w:color w:val="000000"/>
        </w:rPr>
      </w:pPr>
      <w:r>
        <w:rPr>
          <w:color w:val="000000"/>
        </w:rPr>
        <w:t>【点睛】‌影响林线的主要因素‌包括温度、降水、地形、光照、风力等。‌地下水、冻土、土壤、火以及人类活动等因素也对林线有影响。</w:t>
      </w:r>
    </w:p>
    <w:p w14:paraId="75534495">
      <w:pPr>
        <w:spacing w:line="285" w:lineRule="auto"/>
        <w:jc w:val="left"/>
        <w:textAlignment w:val="center"/>
        <w:rPr>
          <w:color w:val="000000"/>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14:paraId="003F75BE">
      <w:pPr>
        <w:spacing w:line="360" w:lineRule="auto"/>
        <w:jc w:val="left"/>
        <w:textAlignment w:val="center"/>
        <w:rPr>
          <w:color w:val="000000"/>
        </w:rPr>
      </w:pPr>
      <w:r>
        <w:rPr>
          <w:color w:val="000000"/>
        </w:rPr>
        <w:t xml:space="preserve">17. </w:t>
      </w:r>
      <w:r>
        <w:rPr>
          <w:rFonts w:ascii="宋体" w:hAnsi="宋体" w:eastAsia="宋体" w:cs="宋体"/>
          <w:color w:val="000000"/>
        </w:rPr>
        <w:t>阅读图文材料，完成下列要求。</w:t>
      </w:r>
    </w:p>
    <w:p w14:paraId="073630AA">
      <w:pPr>
        <w:spacing w:line="360" w:lineRule="auto"/>
        <w:ind w:firstLine="420"/>
        <w:jc w:val="left"/>
        <w:textAlignment w:val="center"/>
        <w:rPr>
          <w:color w:val="000000"/>
        </w:rPr>
      </w:pPr>
      <w:r>
        <w:rPr>
          <w:rFonts w:ascii="楷体" w:hAnsi="楷体" w:eastAsia="楷体" w:cs="楷体"/>
          <w:color w:val="000000"/>
        </w:rPr>
        <w:t>潘帕斯平原是一种比较独特的草原类型——“没有树木的大草原”，西部从海拔</w:t>
      </w:r>
      <w:r>
        <w:rPr>
          <w:rFonts w:ascii="Times New Roman" w:hAnsi="Times New Roman" w:eastAsia="Times New Roman" w:cs="Times New Roman"/>
          <w:color w:val="000000"/>
        </w:rPr>
        <w:t>200</w:t>
      </w:r>
      <w:r>
        <w:rPr>
          <w:rFonts w:ascii="楷体" w:hAnsi="楷体" w:eastAsia="楷体" w:cs="楷体"/>
          <w:color w:val="000000"/>
        </w:rPr>
        <w:t>米起，向西延伸至安第斯山麓，称“干潘帕”；东部海拔仅</w:t>
      </w:r>
      <w:r>
        <w:rPr>
          <w:rFonts w:ascii="Times New Roman" w:hAnsi="Times New Roman" w:eastAsia="Times New Roman" w:cs="Times New Roman"/>
          <w:color w:val="000000"/>
        </w:rPr>
        <w:t>20</w:t>
      </w:r>
      <w:r>
        <w:rPr>
          <w:rFonts w:ascii="楷体" w:hAnsi="楷体" w:eastAsia="楷体" w:cs="楷体"/>
          <w:color w:val="000000"/>
        </w:rPr>
        <w:t>米左右，称“湿润潘帕”，分布有表面红色下面黑色的“红化黑土”。安第斯山一直处于上升阶段，潘帕斯平原一直处于下降状态，受此影响，潘帕斯平原水平沉积物具有明显的沉积规律。下图示意潘帕斯平原位置。</w:t>
      </w:r>
    </w:p>
    <w:p w14:paraId="2F55442B">
      <w:pPr>
        <w:spacing w:line="360" w:lineRule="auto"/>
        <w:jc w:val="left"/>
        <w:textAlignment w:val="center"/>
        <w:rPr>
          <w:color w:val="000000"/>
        </w:rPr>
      </w:pPr>
      <w:r>
        <w:rPr>
          <w:color w:val="000000"/>
        </w:rPr>
        <w:drawing>
          <wp:inline distT="0" distB="0" distL="114300" distR="114300">
            <wp:extent cx="2514600" cy="17526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514600" cy="1752600"/>
                    </a:xfrm>
                    <a:prstGeom prst="rect">
                      <a:avLst/>
                    </a:prstGeom>
                  </pic:spPr>
                </pic:pic>
              </a:graphicData>
            </a:graphic>
          </wp:inline>
        </w:drawing>
      </w:r>
    </w:p>
    <w:p w14:paraId="49DEC900">
      <w:pPr>
        <w:spacing w:line="360" w:lineRule="auto"/>
        <w:jc w:val="left"/>
        <w:textAlignment w:val="center"/>
        <w:rPr>
          <w:color w:val="000000"/>
        </w:rPr>
      </w:pPr>
      <w:r>
        <w:rPr>
          <w:color w:val="000000"/>
        </w:rPr>
        <w:t>（1）</w:t>
      </w:r>
      <w:r>
        <w:rPr>
          <w:rFonts w:ascii="宋体" w:hAnsi="宋体" w:eastAsia="宋体" w:cs="宋体"/>
          <w:color w:val="000000"/>
        </w:rPr>
        <w:t>简述潘帕斯平原的地形特征。</w:t>
      </w:r>
    </w:p>
    <w:p w14:paraId="4FEAFEBC">
      <w:pPr>
        <w:spacing w:line="360" w:lineRule="auto"/>
        <w:jc w:val="left"/>
        <w:textAlignment w:val="center"/>
        <w:rPr>
          <w:color w:val="000000"/>
        </w:rPr>
      </w:pPr>
      <w:r>
        <w:rPr>
          <w:color w:val="000000"/>
        </w:rPr>
        <w:t>（2）</w:t>
      </w:r>
      <w:r>
        <w:rPr>
          <w:rFonts w:ascii="宋体" w:hAnsi="宋体" w:eastAsia="宋体" w:cs="宋体"/>
          <w:color w:val="000000"/>
        </w:rPr>
        <w:t>从气候角度推测潘帕斯平原成为“没有树木的大草原”的原因。</w:t>
      </w:r>
    </w:p>
    <w:p w14:paraId="04F1C095">
      <w:pPr>
        <w:spacing w:line="360" w:lineRule="auto"/>
        <w:jc w:val="left"/>
        <w:textAlignment w:val="center"/>
        <w:rPr>
          <w:color w:val="000000"/>
        </w:rPr>
      </w:pPr>
      <w:r>
        <w:rPr>
          <w:color w:val="000000"/>
        </w:rPr>
        <w:t>（3）</w:t>
      </w:r>
      <w:r>
        <w:rPr>
          <w:rFonts w:ascii="宋体" w:hAnsi="宋体" w:eastAsia="宋体" w:cs="宋体"/>
          <w:color w:val="000000"/>
        </w:rPr>
        <w:t>根据该地区地质变动状况，分析潘帕斯平原的水平沉积规律。</w:t>
      </w:r>
    </w:p>
    <w:p w14:paraId="3560562E">
      <w:pPr>
        <w:spacing w:line="360" w:lineRule="auto"/>
        <w:textAlignment w:val="center"/>
        <w:rPr>
          <w:color w:val="000000"/>
        </w:rPr>
      </w:pPr>
      <w:r>
        <w:rPr>
          <w:color w:val="2E75B6"/>
        </w:rPr>
        <w:t>【答案】</w:t>
      </w:r>
      <w:r>
        <w:rPr>
          <w:color w:val="000000"/>
        </w:rPr>
        <w:t>（1）</w:t>
      </w:r>
      <w:r>
        <w:rPr>
          <w:rFonts w:ascii="宋体" w:hAnsi="宋体" w:eastAsia="宋体" w:cs="宋体"/>
          <w:color w:val="000000"/>
        </w:rPr>
        <w:t>特征：潘帕斯平原西高东低（或西北高、东南低），地势由西向东慢慢倾斜；潘帕斯平原整体面积广阔，地形平坦；地形起伏较小（或地面比降小）；西部多荒漠和盐沼，东部多湖泊。</w:t>
      </w:r>
      <w:r>
        <w:rPr>
          <w:color w:val="000000"/>
        </w:rPr>
        <w:t xml:space="preserve">    </w:t>
      </w:r>
    </w:p>
    <w:p w14:paraId="0A8597CB">
      <w:pPr>
        <w:spacing w:line="360" w:lineRule="auto"/>
        <w:textAlignment w:val="center"/>
        <w:rPr>
          <w:color w:val="000000"/>
        </w:rPr>
      </w:pPr>
      <w:r>
        <w:rPr>
          <w:color w:val="000000"/>
        </w:rPr>
        <w:t>（2）</w:t>
      </w:r>
      <w:r>
        <w:rPr>
          <w:rFonts w:ascii="宋体" w:hAnsi="宋体" w:eastAsia="宋体" w:cs="宋体"/>
          <w:color w:val="000000"/>
        </w:rPr>
        <w:t>原因：南美洲的陆地面积比较小，海陆热力性质的差异不如其他地区显著，因此受季风气候影响的范围较小、强度较弱；同时，由于潘帕斯平原纬度较低，年均气温较高，蒸发较强；潘帕斯平原西部距离海洋较远，加上安第斯山脉阻挡了西部太平洋水汽的进入，年降水量小，东部虽属亚热带季风性湿润气候，但季风影响较弱，降水量比同纬度受亚热带季风气候影响的地区少。因而，不能满足形成森林的条件，只能形成草原。</w:t>
      </w:r>
      <w:r>
        <w:rPr>
          <w:color w:val="000000"/>
        </w:rPr>
        <w:t xml:space="preserve">    </w:t>
      </w:r>
    </w:p>
    <w:p w14:paraId="72B7FD0E">
      <w:pPr>
        <w:spacing w:line="360" w:lineRule="auto"/>
        <w:textAlignment w:val="center"/>
        <w:rPr>
          <w:color w:val="000000"/>
        </w:rPr>
      </w:pPr>
      <w:r>
        <w:rPr>
          <w:color w:val="000000"/>
        </w:rPr>
        <w:t>（3）</w:t>
      </w:r>
      <w:r>
        <w:rPr>
          <w:rFonts w:ascii="宋体" w:hAnsi="宋体" w:eastAsia="宋体" w:cs="宋体"/>
          <w:color w:val="000000"/>
        </w:rPr>
        <w:t>规律：受地质作用影响，安第斯山一直处于上升阶段，而潘帕斯平原一直处于沉降状态，形成较大落差，山区河流携带大量碎屑物质，向下流动并不断沉积，随着流速降低，（其沉积规律）靠近山区以鹅卵石、砾石为主（或沉积物颗粒较大），向中下游（东部沿海）以粗中砂及细砂黏土等（或沉积物颗粒较小），呈规律性分布。</w:t>
      </w:r>
    </w:p>
    <w:p w14:paraId="70FDAE1D">
      <w:pPr>
        <w:spacing w:line="360" w:lineRule="auto"/>
        <w:textAlignment w:val="center"/>
        <w:rPr>
          <w:color w:val="000000"/>
        </w:rPr>
      </w:pPr>
      <w:r>
        <w:rPr>
          <w:color w:val="2E75B6"/>
        </w:rPr>
        <w:t>【解析】</w:t>
      </w:r>
    </w:p>
    <w:p w14:paraId="3DD9CBBF">
      <w:pPr>
        <w:spacing w:line="360" w:lineRule="auto"/>
        <w:jc w:val="left"/>
        <w:textAlignment w:val="center"/>
        <w:rPr>
          <w:color w:val="000000"/>
        </w:rPr>
      </w:pPr>
      <w:r>
        <w:rPr>
          <w:color w:val="000000"/>
        </w:rPr>
        <w:t>【分析】本题以潘帕斯平原为材料设置试题，涉及地形特征、影响植被的因素、流水堆积地貌等相关知识点，考查学生获取和解读地理信息、调动和运用地理知识的能力，体现区域认知、综合思维的学科素养。</w:t>
      </w:r>
    </w:p>
    <w:p w14:paraId="29012F2E">
      <w:pPr>
        <w:spacing w:line="360" w:lineRule="auto"/>
        <w:jc w:val="left"/>
        <w:textAlignment w:val="center"/>
        <w:rPr>
          <w:color w:val="000000"/>
        </w:rPr>
      </w:pPr>
      <w:r>
        <w:rPr>
          <w:color w:val="000000"/>
        </w:rPr>
        <w:t>【小问1详解】</w:t>
      </w:r>
    </w:p>
    <w:p w14:paraId="333A4925">
      <w:pPr>
        <w:spacing w:line="360" w:lineRule="auto"/>
        <w:jc w:val="left"/>
        <w:textAlignment w:val="center"/>
        <w:rPr>
          <w:color w:val="000000"/>
        </w:rPr>
      </w:pPr>
      <w:r>
        <w:rPr>
          <w:color w:val="000000"/>
        </w:rPr>
        <w:t>结合图中山脉和河流的分布可知，西部有高大山脉分布，河流总体自西北向东南流动，因此潘帕斯平原地势西高东低（或西北高、东南低），由西向东慢慢倾斜；从潘帕斯平原跨越的经纬度可知，其整体面积广阔；潘帕斯平原地形平坦开阔，地形起伏较小，地面比降小；西部降水少，多荒漠和盐沼，东部降水较多，多湖泊。</w:t>
      </w:r>
    </w:p>
    <w:p w14:paraId="5E0EB65E">
      <w:pPr>
        <w:spacing w:line="360" w:lineRule="auto"/>
        <w:jc w:val="left"/>
        <w:textAlignment w:val="center"/>
        <w:rPr>
          <w:color w:val="000000"/>
        </w:rPr>
      </w:pPr>
      <w:r>
        <w:rPr>
          <w:color w:val="000000"/>
        </w:rPr>
        <w:t>【小问2详解】</w:t>
      </w:r>
    </w:p>
    <w:p w14:paraId="5D45688F">
      <w:pPr>
        <w:spacing w:line="360" w:lineRule="auto"/>
        <w:jc w:val="left"/>
        <w:textAlignment w:val="center"/>
        <w:rPr>
          <w:color w:val="000000"/>
        </w:rPr>
      </w:pPr>
      <w:r>
        <w:rPr>
          <w:color w:val="000000"/>
        </w:rPr>
        <w:t>南美洲的陆地面积比较小，海陆热力性质的差异不如其他地区显著，季风气候并不典型，受季风气候影响的范围较小、强度较弱；同时，由于潘帕斯平原纬度较低，年均气温较高，蒸发较强，土壤水分条件较差，难以满足森林等植被的生长；潘帕斯平原西部距离海洋较远，加上西部有高大的安第斯山脉阻挡了西部太平洋水汽的进入，受海洋水汽的影响小，年降水量小，而东部虽属亚热带季风性湿润气候，但由于陆地面积小，海陆热力性质的差异不显著，季风影响较弱，降水量比同纬度受亚热带季风气候影响的地区少。因而，由于水分条件较差，不能满足形成森林的条件，只能形成草原。</w:t>
      </w:r>
    </w:p>
    <w:p w14:paraId="21B6E7D7">
      <w:pPr>
        <w:spacing w:line="360" w:lineRule="auto"/>
        <w:jc w:val="left"/>
        <w:textAlignment w:val="center"/>
        <w:rPr>
          <w:color w:val="000000"/>
        </w:rPr>
      </w:pPr>
      <w:r>
        <w:rPr>
          <w:color w:val="000000"/>
        </w:rPr>
        <w:t>【小问3详解】</w:t>
      </w:r>
    </w:p>
    <w:p w14:paraId="18FC1C78">
      <w:pPr>
        <w:spacing w:line="360" w:lineRule="auto"/>
        <w:jc w:val="left"/>
        <w:textAlignment w:val="center"/>
        <w:rPr>
          <w:color w:val="000000"/>
        </w:rPr>
      </w:pPr>
      <w:r>
        <w:rPr>
          <w:color w:val="000000"/>
        </w:rPr>
        <w:t>受南极洲板块和美洲板块的碰撞挤压作用影响，岩层不断弯曲变形，安第斯山一直处于上升阶段，而潘帕斯平原一直处于沉降状态，形成较大落差。山地发育的河流在山区流动时，由于落差大，水流急，河流侵蚀搬运能力较强，携带大量碎屑物质，向下流动并在下游地势地平的地区不断沉积，随着流速不断降低，搬运能力减弱，其沉积规律表现为靠近山区的地区沉积物颗粒较大，以鹅卵石、砾石为主，向中下游（东部沿海）沉积物颗粒较小，以粗中砂及细砂黏土等为主，有明显的分选性、规律性。</w:t>
      </w:r>
    </w:p>
    <w:p w14:paraId="0D62B6E2">
      <w:pPr>
        <w:spacing w:line="360" w:lineRule="auto"/>
        <w:jc w:val="left"/>
        <w:textAlignment w:val="center"/>
        <w:rPr>
          <w:color w:val="000000"/>
        </w:rPr>
      </w:pPr>
      <w:r>
        <w:rPr>
          <w:color w:val="000000"/>
        </w:rPr>
        <w:t xml:space="preserve">18. </w:t>
      </w:r>
      <w:r>
        <w:rPr>
          <w:rFonts w:ascii="宋体" w:hAnsi="宋体" w:eastAsia="宋体" w:cs="宋体"/>
          <w:color w:val="000000"/>
        </w:rPr>
        <w:t>阅读图文材料，完成下列要求。</w:t>
      </w:r>
    </w:p>
    <w:p w14:paraId="4894BE54">
      <w:pPr>
        <w:spacing w:line="360" w:lineRule="auto"/>
        <w:ind w:firstLine="420"/>
        <w:jc w:val="left"/>
        <w:textAlignment w:val="center"/>
        <w:rPr>
          <w:color w:val="000000"/>
        </w:rPr>
      </w:pPr>
      <w:r>
        <w:rPr>
          <w:rFonts w:ascii="楷体" w:hAnsi="楷体" w:eastAsia="楷体" w:cs="楷体"/>
          <w:color w:val="000000"/>
        </w:rPr>
        <w:t>夜间经济是以服务业为主体的城市经济的延伸，通常指从当日</w:t>
      </w:r>
      <w:r>
        <w:rPr>
          <w:rFonts w:ascii="Times New Roman" w:hAnsi="Times New Roman" w:eastAsia="Times New Roman" w:cs="Times New Roman"/>
          <w:color w:val="000000"/>
        </w:rPr>
        <w:t>18</w:t>
      </w:r>
      <w:r>
        <w:rPr>
          <w:rFonts w:ascii="宋体" w:hAnsi="宋体" w:eastAsia="宋体" w:cs="宋体"/>
          <w:color w:val="000000"/>
        </w:rPr>
        <w:t>：</w:t>
      </w:r>
      <w:r>
        <w:rPr>
          <w:rFonts w:ascii="Times New Roman" w:hAnsi="Times New Roman" w:eastAsia="Times New Roman" w:cs="Times New Roman"/>
          <w:color w:val="000000"/>
        </w:rPr>
        <w:t>00</w:t>
      </w:r>
      <w:r>
        <w:rPr>
          <w:rFonts w:ascii="楷体" w:hAnsi="楷体" w:eastAsia="楷体" w:cs="楷体"/>
          <w:color w:val="000000"/>
        </w:rPr>
        <w:t>至次日</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00</w:t>
      </w:r>
      <w:r>
        <w:rPr>
          <w:rFonts w:ascii="楷体" w:hAnsi="楷体" w:eastAsia="楷体" w:cs="楷体"/>
          <w:color w:val="000000"/>
        </w:rPr>
        <w:t>所发生的集购物娱乐、休闲餐饮、旅游体验等活动于一体的现代消费经济。天津市是环渤海地区的经济中心，自</w:t>
      </w:r>
      <w:r>
        <w:rPr>
          <w:rFonts w:ascii="Times New Roman" w:hAnsi="Times New Roman" w:eastAsia="Times New Roman" w:cs="Times New Roman"/>
          <w:color w:val="000000"/>
        </w:rPr>
        <w:t>2018</w:t>
      </w:r>
      <w:r>
        <w:rPr>
          <w:rFonts w:ascii="楷体" w:hAnsi="楷体" w:eastAsia="楷体" w:cs="楷体"/>
          <w:color w:val="000000"/>
        </w:rPr>
        <w:t>年开始大力发展夜间经济，目前已建成多个市级和区级夜间经济示范街区，在加快</w:t>
      </w:r>
      <w:r>
        <w:rPr>
          <w:rFonts w:ascii="Times New Roman" w:hAnsi="Times New Roman" w:eastAsia="Times New Roman" w:cs="Times New Roman"/>
          <w:color w:val="000000"/>
        </w:rPr>
        <w:t>24h</w:t>
      </w:r>
      <w:r>
        <w:rPr>
          <w:rFonts w:ascii="楷体" w:hAnsi="楷体" w:eastAsia="楷体" w:cs="楷体"/>
          <w:color w:val="000000"/>
        </w:rPr>
        <w:t>深夜经济布局的同时，开拓了多元化的夜间消费市场。下图示意天津市中心城区夜间经济业态总体核密度。</w:t>
      </w:r>
    </w:p>
    <w:p w14:paraId="23EB178B">
      <w:pPr>
        <w:spacing w:line="360" w:lineRule="auto"/>
        <w:jc w:val="left"/>
        <w:textAlignment w:val="center"/>
        <w:rPr>
          <w:color w:val="000000"/>
        </w:rPr>
      </w:pPr>
      <w:r>
        <w:rPr>
          <w:color w:val="000000"/>
        </w:rPr>
        <w:drawing>
          <wp:inline distT="0" distB="0" distL="114300" distR="114300">
            <wp:extent cx="2419350" cy="19431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419350" cy="1943100"/>
                    </a:xfrm>
                    <a:prstGeom prst="rect">
                      <a:avLst/>
                    </a:prstGeom>
                  </pic:spPr>
                </pic:pic>
              </a:graphicData>
            </a:graphic>
          </wp:inline>
        </w:drawing>
      </w:r>
    </w:p>
    <w:p w14:paraId="63F978E2">
      <w:pPr>
        <w:spacing w:line="360" w:lineRule="auto"/>
        <w:jc w:val="left"/>
        <w:textAlignment w:val="center"/>
        <w:rPr>
          <w:color w:val="000000"/>
        </w:rPr>
      </w:pPr>
      <w:r>
        <w:rPr>
          <w:color w:val="000000"/>
        </w:rPr>
        <w:t>（1）</w:t>
      </w:r>
      <w:r>
        <w:rPr>
          <w:rFonts w:ascii="宋体" w:hAnsi="宋体" w:eastAsia="宋体" w:cs="宋体"/>
          <w:color w:val="000000"/>
        </w:rPr>
        <w:t>据图推测天津市中心城区夜间经济的空间分布特征。</w:t>
      </w:r>
    </w:p>
    <w:p w14:paraId="6F3068B3">
      <w:pPr>
        <w:spacing w:line="360" w:lineRule="auto"/>
        <w:jc w:val="left"/>
        <w:textAlignment w:val="center"/>
        <w:rPr>
          <w:color w:val="000000"/>
        </w:rPr>
      </w:pPr>
      <w:r>
        <w:rPr>
          <w:color w:val="000000"/>
        </w:rPr>
        <w:t>（2）</w:t>
      </w:r>
      <w:r>
        <w:rPr>
          <w:rFonts w:ascii="宋体" w:hAnsi="宋体" w:eastAsia="宋体" w:cs="宋体"/>
          <w:color w:val="000000"/>
        </w:rPr>
        <w:t>推测形成图中夜间经济业态核密度差异的驱动因素。</w:t>
      </w:r>
    </w:p>
    <w:p w14:paraId="710E43EF">
      <w:pPr>
        <w:spacing w:line="360" w:lineRule="auto"/>
        <w:jc w:val="left"/>
        <w:textAlignment w:val="center"/>
        <w:rPr>
          <w:color w:val="000000"/>
        </w:rPr>
      </w:pPr>
      <w:r>
        <w:rPr>
          <w:color w:val="000000"/>
        </w:rPr>
        <w:t>（3）</w:t>
      </w:r>
      <w:r>
        <w:rPr>
          <w:rFonts w:ascii="宋体" w:hAnsi="宋体" w:eastAsia="宋体" w:cs="宋体"/>
          <w:color w:val="000000"/>
        </w:rPr>
        <w:t>请为推动天津市夜间经济的高质量发展提出合理建议。</w:t>
      </w:r>
    </w:p>
    <w:p w14:paraId="12A71382">
      <w:pPr>
        <w:spacing w:line="360" w:lineRule="auto"/>
        <w:textAlignment w:val="center"/>
        <w:rPr>
          <w:color w:val="000000"/>
        </w:rPr>
      </w:pPr>
      <w:r>
        <w:rPr>
          <w:color w:val="2E75B6"/>
        </w:rPr>
        <w:t>【答案】</w:t>
      </w:r>
      <w:r>
        <w:rPr>
          <w:color w:val="000000"/>
        </w:rPr>
        <w:t>（1）</w:t>
      </w:r>
      <w:r>
        <w:rPr>
          <w:rFonts w:ascii="宋体" w:hAnsi="宋体" w:eastAsia="宋体" w:cs="宋体"/>
          <w:color w:val="000000"/>
        </w:rPr>
        <w:t>总体呈大集聚、小分散的布局模式；多中心分布，空间极化特征显著；层级结构明显；中心城区夜间经济发展活跃，近郊地区夜间经济相对滞后。</w:t>
      </w:r>
      <w:r>
        <w:rPr>
          <w:color w:val="000000"/>
        </w:rPr>
        <w:t xml:space="preserve">    </w:t>
      </w:r>
    </w:p>
    <w:p w14:paraId="6B78ACA1">
      <w:pPr>
        <w:spacing w:line="360" w:lineRule="auto"/>
        <w:textAlignment w:val="center"/>
        <w:rPr>
          <w:color w:val="000000"/>
        </w:rPr>
      </w:pPr>
      <w:r>
        <w:rPr>
          <w:color w:val="000000"/>
        </w:rPr>
        <w:t>（2）</w:t>
      </w:r>
      <w:r>
        <w:rPr>
          <w:rFonts w:ascii="宋体" w:hAnsi="宋体" w:eastAsia="宋体" w:cs="宋体"/>
          <w:color w:val="000000"/>
        </w:rPr>
        <w:t>人口集聚度；交通通达度；经济社会活跃度；政策支持度。</w:t>
      </w:r>
      <w:r>
        <w:rPr>
          <w:color w:val="000000"/>
        </w:rPr>
        <w:t xml:space="preserve">    </w:t>
      </w:r>
    </w:p>
    <w:p w14:paraId="548A49EF">
      <w:pPr>
        <w:spacing w:line="360" w:lineRule="auto"/>
        <w:textAlignment w:val="center"/>
        <w:rPr>
          <w:color w:val="000000"/>
        </w:rPr>
      </w:pPr>
      <w:r>
        <w:rPr>
          <w:color w:val="000000"/>
        </w:rPr>
        <w:t>（3）</w:t>
      </w:r>
      <w:r>
        <w:rPr>
          <w:rFonts w:ascii="宋体" w:hAnsi="宋体" w:eastAsia="宋体" w:cs="宋体"/>
          <w:color w:val="000000"/>
        </w:rPr>
        <w:t>推动商文旅体多种业态联动发展，营造文化场景、再造消费空间，增强空间的沉浸式体验；充分挖掘城市边缘区文旅特色，探索利用近郊区重要商圈和文化旅游点带动周边夜间经济发展；通过举办系列夜间节庆会展活动等，打造“</w:t>
      </w:r>
      <w:r>
        <w:rPr>
          <w:rFonts w:ascii="Times New Roman" w:hAnsi="Times New Roman" w:eastAsia="Times New Roman" w:cs="Times New Roman"/>
          <w:color w:val="000000"/>
        </w:rPr>
        <w:t>24</w:t>
      </w:r>
      <w:r>
        <w:rPr>
          <w:rFonts w:ascii="宋体" w:hAnsi="宋体" w:eastAsia="宋体" w:cs="宋体"/>
          <w:color w:val="000000"/>
        </w:rPr>
        <w:t>小时经济”；推动线上线下融合发展，扩大夜间消费市场；完善配套设施，营造夜间经济的良好发展环境。</w:t>
      </w:r>
    </w:p>
    <w:p w14:paraId="4598348F">
      <w:pPr>
        <w:spacing w:line="360" w:lineRule="auto"/>
        <w:textAlignment w:val="center"/>
        <w:rPr>
          <w:color w:val="000000"/>
        </w:rPr>
      </w:pPr>
      <w:r>
        <w:rPr>
          <w:color w:val="2E75B6"/>
        </w:rPr>
        <w:t>【解析】</w:t>
      </w:r>
    </w:p>
    <w:p w14:paraId="161D4147">
      <w:pPr>
        <w:spacing w:line="360" w:lineRule="auto"/>
        <w:jc w:val="left"/>
        <w:textAlignment w:val="center"/>
        <w:rPr>
          <w:color w:val="000000"/>
        </w:rPr>
      </w:pPr>
      <w:r>
        <w:rPr>
          <w:color w:val="000000"/>
        </w:rPr>
        <w:t>【分析】</w:t>
      </w:r>
      <w:r>
        <w:rPr>
          <w:rFonts w:ascii="宋体" w:hAnsi="宋体" w:eastAsia="宋体" w:cs="宋体"/>
          <w:color w:val="000000"/>
        </w:rPr>
        <w:t>本题以夜间经济为材料设置试题，涉及夜间经济的空间分布、影响因素及发展方向等知识点，考查学生材料分析、信息获取、运用能力，体现综合思维、区域认知和人地协调观等学科核心素养。</w:t>
      </w:r>
    </w:p>
    <w:p w14:paraId="0B2C3326">
      <w:pPr>
        <w:spacing w:line="360" w:lineRule="auto"/>
        <w:jc w:val="left"/>
        <w:textAlignment w:val="center"/>
        <w:rPr>
          <w:color w:val="000000"/>
        </w:rPr>
      </w:pPr>
      <w:r>
        <w:rPr>
          <w:color w:val="000000"/>
        </w:rPr>
        <w:t>【小问1详解】</w:t>
      </w:r>
    </w:p>
    <w:p w14:paraId="12A2BA10">
      <w:pPr>
        <w:spacing w:line="360" w:lineRule="auto"/>
        <w:jc w:val="left"/>
        <w:textAlignment w:val="center"/>
        <w:rPr>
          <w:color w:val="000000"/>
        </w:rPr>
      </w:pPr>
      <w:r>
        <w:rPr>
          <w:rFonts w:ascii="宋体" w:hAnsi="宋体" w:eastAsia="宋体" w:cs="宋体"/>
          <w:color w:val="000000"/>
        </w:rPr>
        <w:t>从图中可以看出，夜间经济在天津中心区密度较高，有多个核心，所以整体上呈现出大集聚，小分散的布局模式，多中心分布，空间极化特征明显。中心城区的等级较高说明城区中心的经济发展活跃，周边郊区的等级较低，夜间经济相对滞后。</w:t>
      </w:r>
    </w:p>
    <w:p w14:paraId="6F803F79">
      <w:pPr>
        <w:spacing w:line="360" w:lineRule="auto"/>
        <w:jc w:val="left"/>
        <w:textAlignment w:val="center"/>
        <w:rPr>
          <w:color w:val="000000"/>
        </w:rPr>
      </w:pPr>
      <w:r>
        <w:rPr>
          <w:color w:val="000000"/>
          <w:position w:val="0"/>
        </w:rPr>
        <w:drawing>
          <wp:inline distT="0" distB="0" distL="114300" distR="114300">
            <wp:extent cx="95250" cy="17145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7"/>
                    <a:stretch>
                      <a:fillRect/>
                    </a:stretch>
                  </pic:blipFill>
                  <pic:spPr>
                    <a:xfrm>
                      <a:off x="0" y="0"/>
                      <a:ext cx="95250" cy="171450"/>
                    </a:xfrm>
                    <a:prstGeom prst="rect">
                      <a:avLst/>
                    </a:prstGeom>
                  </pic:spPr>
                </pic:pic>
              </a:graphicData>
            </a:graphic>
          </wp:inline>
        </w:drawing>
      </w:r>
      <w:r>
        <w:rPr>
          <w:color w:val="000000"/>
        </w:rPr>
        <w:t>小问2详解】</w:t>
      </w:r>
    </w:p>
    <w:p w14:paraId="0BC23B1D">
      <w:pPr>
        <w:spacing w:line="360" w:lineRule="auto"/>
        <w:jc w:val="left"/>
        <w:textAlignment w:val="center"/>
        <w:rPr>
          <w:color w:val="000000"/>
        </w:rPr>
      </w:pPr>
      <w:r>
        <w:rPr>
          <w:rFonts w:ascii="宋体" w:hAnsi="宋体" w:eastAsia="宋体" w:cs="宋体"/>
          <w:color w:val="000000"/>
        </w:rPr>
        <w:t>市场决定生产的类型和规模，同时市场决定夜间经济业态核密度，所以图中夜间经济业态核密度差异形成的主要原因是市场，也就是消费者群体，所以驱动因素有人口集聚度，同时市场（人流量）还受到交通通达度影响。同时社会经济活跃度也会影响夜间经济的火热程度，地方政策支持度也会影响到夜间经济的发展。</w:t>
      </w:r>
    </w:p>
    <w:p w14:paraId="56708377">
      <w:pPr>
        <w:spacing w:line="360" w:lineRule="auto"/>
        <w:jc w:val="left"/>
        <w:textAlignment w:val="center"/>
        <w:rPr>
          <w:color w:val="000000"/>
        </w:rPr>
      </w:pPr>
      <w:r>
        <w:rPr>
          <w:color w:val="000000"/>
        </w:rPr>
        <w:t>【小问3详解】</w:t>
      </w:r>
    </w:p>
    <w:p w14:paraId="06C15D31">
      <w:pPr>
        <w:spacing w:line="360" w:lineRule="auto"/>
        <w:jc w:val="left"/>
        <w:textAlignment w:val="center"/>
        <w:rPr>
          <w:color w:val="000000"/>
        </w:rPr>
      </w:pPr>
      <w:r>
        <w:rPr>
          <w:rFonts w:ascii="宋体" w:hAnsi="宋体" w:eastAsia="宋体" w:cs="宋体"/>
          <w:color w:val="000000"/>
        </w:rPr>
        <w:t>推动天津市夜间经济的高质量发展可以从提升服务质量、挖掘、探索经济项目、打造活动加大宣传，开辟新模式等角度区思考。可以推动商文旅体多种业态联动发展，营造文化场景、再造消费空间，增强空间的沉浸式体验，吸引更多的消费人群；充分挖掘城市边缘区文旅特色，探索利用近郊区重要商圈和文化旅游点带动周边夜间经济发展，促进城郊夜间经济的发展；通过举办系列夜间节庆会展活动等，打造“24小时经济”，延长夜间经济时间；加大宣传和营销，推动线上线下融合发展，扩大夜间消费市场；完善基础设施、配套设施建设，营造夜间经济的良好发展环境。通过这些方式区推动夜间经济的高质量发展。</w:t>
      </w:r>
    </w:p>
    <w:p w14:paraId="4D48F87D">
      <w:pPr>
        <w:spacing w:line="360" w:lineRule="auto"/>
        <w:jc w:val="left"/>
        <w:textAlignment w:val="center"/>
        <w:rPr>
          <w:color w:val="000000"/>
        </w:rPr>
      </w:pPr>
      <w:r>
        <w:rPr>
          <w:color w:val="000000"/>
        </w:rPr>
        <w:t xml:space="preserve">19. </w:t>
      </w:r>
      <w:r>
        <w:rPr>
          <w:rFonts w:ascii="宋体" w:hAnsi="宋体" w:eastAsia="宋体" w:cs="宋体"/>
          <w:color w:val="000000"/>
        </w:rPr>
        <w:t>阅读图文材料，完成下列要求。</w:t>
      </w:r>
    </w:p>
    <w:p w14:paraId="5A3209E7">
      <w:pPr>
        <w:spacing w:line="360" w:lineRule="auto"/>
        <w:ind w:firstLine="420"/>
        <w:jc w:val="left"/>
        <w:textAlignment w:val="center"/>
        <w:rPr>
          <w:color w:val="000000"/>
        </w:rPr>
      </w:pPr>
      <w:r>
        <w:rPr>
          <w:rFonts w:ascii="楷体" w:hAnsi="楷体" w:eastAsia="楷体" w:cs="楷体"/>
          <w:color w:val="000000"/>
        </w:rPr>
        <w:t>在侏罗纪干旱期，墨西哥湾沿岸形成了约</w:t>
      </w:r>
      <w:r>
        <w:rPr>
          <w:rFonts w:ascii="Times New Roman" w:hAnsi="Times New Roman" w:eastAsia="Times New Roman" w:cs="Times New Roman"/>
          <w:color w:val="000000"/>
        </w:rPr>
        <w:t>100</w:t>
      </w:r>
      <w:r>
        <w:rPr>
          <w:rFonts w:ascii="楷体" w:hAnsi="楷体" w:eastAsia="楷体" w:cs="楷体"/>
          <w:color w:val="000000"/>
        </w:rPr>
        <w:t>米厚的盐层。与一般岩石相比，盐层密度小，高压下易产生塑性流动。经过地质作用，盐层中形成了数量众多的盐丘。盐丘内部与石油原始赋存环境接近。在盐在中通过水溶形成空洞用于储存石油，被称为盐穴储油。墨西哥演沿岸分布着美国重要的战略石油健备基地和石化产业集聚区，美国</w:t>
      </w:r>
      <w:r>
        <w:rPr>
          <w:rFonts w:ascii="Times New Roman" w:hAnsi="Times New Roman" w:eastAsia="Times New Roman" w:cs="Times New Roman"/>
          <w:color w:val="000000"/>
        </w:rPr>
        <w:t>90%</w:t>
      </w:r>
      <w:r>
        <w:rPr>
          <w:rFonts w:ascii="楷体" w:hAnsi="楷体" w:eastAsia="楷体" w:cs="楷体"/>
          <w:color w:val="000000"/>
        </w:rPr>
        <w:t>以上的石油储务分布在这里的</w:t>
      </w:r>
      <w:r>
        <w:rPr>
          <w:rFonts w:ascii="Times New Roman" w:hAnsi="Times New Roman" w:eastAsia="Times New Roman" w:cs="Times New Roman"/>
          <w:color w:val="000000"/>
        </w:rPr>
        <w:t>60</w:t>
      </w:r>
      <w:r>
        <w:rPr>
          <w:rFonts w:ascii="楷体" w:hAnsi="楷体" w:eastAsia="楷体" w:cs="楷体"/>
          <w:color w:val="000000"/>
        </w:rPr>
        <w:t>个地下盐穴中，可为美国提供</w:t>
      </w:r>
      <w:r>
        <w:rPr>
          <w:rFonts w:ascii="Times New Roman" w:hAnsi="Times New Roman" w:eastAsia="Times New Roman" w:cs="Times New Roman"/>
          <w:color w:val="000000"/>
        </w:rPr>
        <w:t>90</w:t>
      </w:r>
      <w:r>
        <w:rPr>
          <w:rFonts w:ascii="楷体" w:hAnsi="楷体" w:eastAsia="楷体" w:cs="楷体"/>
          <w:color w:val="000000"/>
        </w:rPr>
        <w:t>天以上的石油供给。左图为墨西哥湾周边地区示意图，右图为盐丘</w:t>
      </w:r>
      <w:r>
        <w:rPr>
          <w:rFonts w:ascii="Times New Roman" w:hAnsi="Times New Roman" w:eastAsia="Times New Roman" w:cs="Times New Roman"/>
          <w:color w:val="000000"/>
        </w:rPr>
        <w:t>①</w:t>
      </w:r>
      <w:r>
        <w:rPr>
          <w:rFonts w:ascii="楷体" w:hAnsi="楷体" w:eastAsia="楷体" w:cs="楷体"/>
          <w:color w:val="000000"/>
        </w:rPr>
        <w:t>地层剖面图。</w:t>
      </w:r>
    </w:p>
    <w:p w14:paraId="24BFB068">
      <w:pPr>
        <w:spacing w:line="360" w:lineRule="auto"/>
        <w:jc w:val="left"/>
        <w:textAlignment w:val="center"/>
        <w:rPr>
          <w:color w:val="000000"/>
        </w:rPr>
      </w:pPr>
      <w:r>
        <w:rPr>
          <w:color w:val="000000"/>
        </w:rPr>
        <w:drawing>
          <wp:inline distT="0" distB="0" distL="114300" distR="114300">
            <wp:extent cx="3381375" cy="19907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3381375" cy="1990725"/>
                    </a:xfrm>
                    <a:prstGeom prst="rect">
                      <a:avLst/>
                    </a:prstGeom>
                  </pic:spPr>
                </pic:pic>
              </a:graphicData>
            </a:graphic>
          </wp:inline>
        </w:drawing>
      </w:r>
      <w:r>
        <w:rPr>
          <w:color w:val="000000"/>
        </w:rPr>
        <w:drawing>
          <wp:inline distT="0" distB="0" distL="114300" distR="114300">
            <wp:extent cx="2676525" cy="19145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676525" cy="1914525"/>
                    </a:xfrm>
                    <a:prstGeom prst="rect">
                      <a:avLst/>
                    </a:prstGeom>
                  </pic:spPr>
                </pic:pic>
              </a:graphicData>
            </a:graphic>
          </wp:inline>
        </w:drawing>
      </w:r>
    </w:p>
    <w:p w14:paraId="60CF1C69">
      <w:pPr>
        <w:spacing w:line="360" w:lineRule="auto"/>
        <w:jc w:val="left"/>
        <w:textAlignment w:val="center"/>
        <w:rPr>
          <w:color w:val="000000"/>
        </w:rPr>
      </w:pPr>
      <w:r>
        <w:rPr>
          <w:color w:val="000000"/>
        </w:rPr>
        <w:t>（1）</w:t>
      </w:r>
      <w:r>
        <w:rPr>
          <w:rFonts w:ascii="宋体" w:hAnsi="宋体" w:eastAsia="宋体" w:cs="宋体"/>
          <w:color w:val="000000"/>
        </w:rPr>
        <w:t>说出与地上油罐相比，地下盐穴储油的优缺点。</w:t>
      </w:r>
    </w:p>
    <w:p w14:paraId="6D37F991">
      <w:pPr>
        <w:spacing w:line="360" w:lineRule="auto"/>
        <w:jc w:val="left"/>
        <w:textAlignment w:val="center"/>
        <w:rPr>
          <w:color w:val="000000"/>
        </w:rPr>
      </w:pPr>
      <w:r>
        <w:rPr>
          <w:color w:val="000000"/>
        </w:rPr>
        <w:t>（2）</w:t>
      </w:r>
      <w:r>
        <w:rPr>
          <w:rFonts w:ascii="宋体" w:hAnsi="宋体" w:eastAsia="宋体" w:cs="宋体"/>
          <w:color w:val="000000"/>
        </w:rPr>
        <w:t>分析墨西哥湾沿岸成为美国战略石油储备基地的有利条件。</w:t>
      </w:r>
    </w:p>
    <w:p w14:paraId="1B10FDD9">
      <w:pPr>
        <w:spacing w:line="360" w:lineRule="auto"/>
        <w:jc w:val="left"/>
        <w:textAlignment w:val="center"/>
        <w:rPr>
          <w:color w:val="000000"/>
        </w:rPr>
      </w:pPr>
      <w:r>
        <w:rPr>
          <w:color w:val="000000"/>
        </w:rPr>
        <w:t>（3）</w:t>
      </w:r>
      <w:r>
        <w:rPr>
          <w:rFonts w:ascii="宋体" w:hAnsi="宋体" w:eastAsia="宋体" w:cs="宋体"/>
          <w:color w:val="000000"/>
        </w:rPr>
        <w:t>借鉴美国石油储备的经验，为我国能源安全提出合理化建议。</w:t>
      </w:r>
    </w:p>
    <w:p w14:paraId="3CF27C6B">
      <w:pPr>
        <w:spacing w:line="360" w:lineRule="auto"/>
        <w:textAlignment w:val="center"/>
        <w:rPr>
          <w:color w:val="000000"/>
        </w:rPr>
      </w:pPr>
      <w:r>
        <w:rPr>
          <w:color w:val="2E75B6"/>
        </w:rPr>
        <w:t>【答案】</w:t>
      </w:r>
      <w:r>
        <w:rPr>
          <w:color w:val="000000"/>
        </w:rPr>
        <w:t>（1）</w:t>
      </w:r>
      <w:r>
        <w:rPr>
          <w:rFonts w:ascii="宋体" w:hAnsi="宋体" w:eastAsia="宋体" w:cs="宋体"/>
          <w:color w:val="000000"/>
        </w:rPr>
        <w:t>优点</w:t>
      </w:r>
      <w:r>
        <w:rPr>
          <w:rFonts w:ascii="Times New Roman" w:hAnsi="Times New Roman" w:eastAsia="Times New Roman" w:cs="Times New Roman"/>
          <w:color w:val="000000"/>
        </w:rPr>
        <w:t>:</w:t>
      </w:r>
      <w:r>
        <w:rPr>
          <w:rFonts w:ascii="宋体" w:hAnsi="宋体" w:eastAsia="宋体" w:cs="宋体"/>
          <w:color w:val="000000"/>
        </w:rPr>
        <w:t>储存规模大；不占地面空间；借助天然盐丘，建设成本低；盐穴储油设施抗打击能力强，安全性高；盐穴与石油原始赋存环境相似，利于保持石油品质。缺点</w:t>
      </w:r>
      <w:r>
        <w:rPr>
          <w:rFonts w:ascii="Times New Roman" w:hAnsi="Times New Roman" w:eastAsia="Times New Roman" w:cs="Times New Roman"/>
          <w:color w:val="000000"/>
        </w:rPr>
        <w:t>:</w:t>
      </w:r>
      <w:r>
        <w:rPr>
          <w:rFonts w:ascii="宋体" w:hAnsi="宋体" w:eastAsia="宋体" w:cs="宋体"/>
          <w:color w:val="000000"/>
        </w:rPr>
        <w:t>依赖特有的地质条件，选址灵活性差；对工程技术要求高。</w:t>
      </w:r>
      <w:r>
        <w:rPr>
          <w:color w:val="000000"/>
        </w:rPr>
        <w:t xml:space="preserve">    </w:t>
      </w:r>
    </w:p>
    <w:p w14:paraId="3C9E53B3">
      <w:pPr>
        <w:spacing w:line="360" w:lineRule="auto"/>
        <w:textAlignment w:val="center"/>
        <w:rPr>
          <w:color w:val="000000"/>
        </w:rPr>
      </w:pPr>
      <w:r>
        <w:rPr>
          <w:color w:val="000000"/>
        </w:rPr>
        <w:t>（2）</w:t>
      </w:r>
      <w:r>
        <w:rPr>
          <w:rFonts w:ascii="宋体" w:hAnsi="宋体" w:eastAsia="宋体" w:cs="宋体"/>
          <w:color w:val="000000"/>
        </w:rPr>
        <w:t>邻近墨西哥湾石油产区，石油供应便捷；位于盐丘集中分布区，便于盐穴储油库的建设；石化产业发达，石油加工能力强；连通多条石油管道（或海运便利），便于石油跨区域输送。</w:t>
      </w:r>
      <w:r>
        <w:rPr>
          <w:color w:val="000000"/>
        </w:rPr>
        <w:t xml:space="preserve">    </w:t>
      </w:r>
    </w:p>
    <w:p w14:paraId="0CEE4119">
      <w:pPr>
        <w:spacing w:line="360" w:lineRule="auto"/>
        <w:textAlignment w:val="center"/>
        <w:rPr>
          <w:color w:val="000000"/>
        </w:rPr>
      </w:pPr>
      <w:r>
        <w:rPr>
          <w:color w:val="000000"/>
        </w:rPr>
        <w:t>（3）</w:t>
      </w:r>
      <w:r>
        <w:rPr>
          <w:rFonts w:ascii="宋体" w:hAnsi="宋体" w:eastAsia="宋体" w:cs="宋体"/>
          <w:color w:val="000000"/>
        </w:rPr>
        <w:t>提高国家石油战略储备量；加大盐丘勘探；加大盐穴储油的建设力度；优化战略石油储备基地布局；构建石油管道网络，提高能源输送能力。</w:t>
      </w:r>
    </w:p>
    <w:p w14:paraId="156F9E91">
      <w:pPr>
        <w:spacing w:line="360" w:lineRule="auto"/>
        <w:textAlignment w:val="center"/>
        <w:rPr>
          <w:color w:val="000000"/>
        </w:rPr>
      </w:pPr>
      <w:r>
        <w:rPr>
          <w:color w:val="2E75B6"/>
        </w:rPr>
        <w:t>【解析】</w:t>
      </w:r>
    </w:p>
    <w:p w14:paraId="40F4A729">
      <w:pPr>
        <w:spacing w:line="360" w:lineRule="auto"/>
        <w:jc w:val="left"/>
        <w:textAlignment w:val="center"/>
        <w:rPr>
          <w:color w:val="000000"/>
        </w:rPr>
      </w:pPr>
      <w:r>
        <w:rPr>
          <w:color w:val="000000"/>
        </w:rPr>
        <w:t>【分析】本大题以美国在墨西哥湾沿岸的盐穴储油为背景，涉及工业区位因素、能源安全等相关知识，考查学生获取和解读地理信息，调动和运用地理知识的能力。</w:t>
      </w:r>
    </w:p>
    <w:p w14:paraId="0853BAAC">
      <w:pPr>
        <w:spacing w:line="360" w:lineRule="auto"/>
        <w:jc w:val="left"/>
        <w:textAlignment w:val="center"/>
        <w:rPr>
          <w:color w:val="000000"/>
        </w:rPr>
      </w:pPr>
      <w:r>
        <w:rPr>
          <w:color w:val="000000"/>
        </w:rPr>
        <w:t>【小问1详解】</w:t>
      </w:r>
    </w:p>
    <w:p w14:paraId="122ECE63">
      <w:pPr>
        <w:spacing w:line="360" w:lineRule="auto"/>
        <w:jc w:val="left"/>
        <w:textAlignment w:val="center"/>
        <w:rPr>
          <w:color w:val="000000"/>
        </w:rPr>
      </w:pPr>
      <w:r>
        <w:rPr>
          <w:rFonts w:ascii="宋体" w:hAnsi="宋体" w:eastAsia="宋体" w:cs="宋体"/>
          <w:color w:val="000000"/>
        </w:rPr>
        <w:t>相较于地上油罐，地下盐穴存储空间大，</w:t>
      </w:r>
      <w:r>
        <w:rPr>
          <w:color w:val="000000"/>
        </w:rPr>
        <w:t>储存规模大，</w:t>
      </w:r>
      <w:r>
        <w:rPr>
          <w:rFonts w:ascii="宋体" w:hAnsi="宋体" w:eastAsia="宋体" w:cs="宋体"/>
          <w:color w:val="000000"/>
        </w:rPr>
        <w:t>不占地面空间；利用水溶形式形成的空洞储存石油，建设成本比较低；岩层外层较为坚硬，抗打击能力强、不容易发生泄漏等事故，安全性高；根据材料可知，盐丘内部与石油原始赋存环境接近，有利于保持石油品质，但是盐穴不能移动，依赖于特有的地质条件，选址灵活性差；由于盐穴位于地下，对工程技术要求高。</w:t>
      </w:r>
    </w:p>
    <w:p w14:paraId="7728D8A0">
      <w:pPr>
        <w:spacing w:line="360" w:lineRule="auto"/>
        <w:jc w:val="left"/>
        <w:textAlignment w:val="center"/>
        <w:rPr>
          <w:color w:val="000000"/>
        </w:rPr>
      </w:pPr>
      <w:r>
        <w:rPr>
          <w:color w:val="000000"/>
        </w:rPr>
        <w:t>【小问2详解】</w:t>
      </w:r>
    </w:p>
    <w:p w14:paraId="72D8BDC5">
      <w:pPr>
        <w:spacing w:line="360" w:lineRule="auto"/>
        <w:jc w:val="left"/>
        <w:textAlignment w:val="center"/>
        <w:rPr>
          <w:color w:val="000000"/>
        </w:rPr>
      </w:pPr>
      <w:r>
        <w:rPr>
          <w:color w:val="000000"/>
        </w:rPr>
        <w:t>从图中可以看出，墨西哥湾沿岸有大量海上油田，在这里建立石油储备基地能够获得便捷的石油供应；当地盐丘分布广，有利于建设储存石油的盐穴；当地有石化产业集群，石化产业发达，石油加工能力强；当地有多条连接外地的石油管道，并且临海海运便利，便于进行石油跨区域输送。</w:t>
      </w:r>
    </w:p>
    <w:p w14:paraId="55B58C45">
      <w:pPr>
        <w:spacing w:line="360" w:lineRule="auto"/>
        <w:jc w:val="left"/>
        <w:textAlignment w:val="center"/>
        <w:rPr>
          <w:color w:val="000000"/>
        </w:rPr>
      </w:pPr>
      <w:r>
        <w:rPr>
          <w:color w:val="000000"/>
        </w:rPr>
        <w:t>【小问3详解】</w:t>
      </w:r>
    </w:p>
    <w:p w14:paraId="6BE04363">
      <w:pPr>
        <w:spacing w:line="360" w:lineRule="auto"/>
        <w:jc w:val="left"/>
        <w:textAlignment w:val="center"/>
        <w:rPr>
          <w:color w:val="000000"/>
        </w:rPr>
      </w:pPr>
      <w:r>
        <w:rPr>
          <w:color w:val="000000"/>
        </w:rPr>
        <w:t>根据材料，美国在石油储备方面做得比较好的地方有利用盐丘储油、建立石油储备基地，因此我国可以借鉴其做法，提高国家石油战路储备量；国内应加大对盐穴的勘探和建设力度，以利用盐穴储油；优化战略石油储备基地布局，使其能够保障能源安全和发挥最大效用；在石油储备基地旁构建石油管道网络、提高能源输送能力。</w:t>
      </w:r>
    </w:p>
    <w:p w14:paraId="126EAD83">
      <w:pPr>
        <w:spacing w:line="360" w:lineRule="auto"/>
        <w:jc w:val="left"/>
        <w:textAlignment w:val="center"/>
        <w:rPr>
          <w:color w:val="000000"/>
        </w:rPr>
      </w:pPr>
      <w:r>
        <w:rPr>
          <w:color w:val="000000"/>
        </w:rPr>
        <w:t xml:space="preserve">20. </w:t>
      </w:r>
      <w:r>
        <w:rPr>
          <w:rFonts w:ascii="宋体" w:hAnsi="宋体" w:eastAsia="宋体" w:cs="宋体"/>
          <w:color w:val="000000"/>
        </w:rPr>
        <w:t>阅读图文材料，完成下列要求。</w:t>
      </w:r>
    </w:p>
    <w:p w14:paraId="20B08BCF">
      <w:pPr>
        <w:spacing w:line="360" w:lineRule="auto"/>
        <w:ind w:firstLine="420"/>
        <w:jc w:val="left"/>
        <w:textAlignment w:val="center"/>
        <w:rPr>
          <w:color w:val="000000"/>
        </w:rPr>
      </w:pPr>
      <w:r>
        <w:rPr>
          <w:rFonts w:ascii="楷体" w:hAnsi="楷体" w:eastAsia="楷体" w:cs="楷体"/>
          <w:color w:val="000000"/>
        </w:rPr>
        <w:t>藏中地区（如图所示）是西藏人口最集中、经济最繁荣的地区，已经竣工的藏中联网工程，可有效解决该地区缺电问题。相对于水电建设，联网工程建设周期短。工程线路建设中，某些路段采用高跨越、绕行等方式，海拔平均提升</w:t>
      </w:r>
      <w:r>
        <w:rPr>
          <w:rFonts w:ascii="Times New Roman" w:hAnsi="Times New Roman" w:eastAsia="Times New Roman" w:cs="Times New Roman"/>
          <w:color w:val="000000"/>
        </w:rPr>
        <w:t>800</w:t>
      </w:r>
      <w:r>
        <w:rPr>
          <w:rFonts w:ascii="楷体" w:hAnsi="楷体" w:eastAsia="楷体" w:cs="楷体"/>
          <w:color w:val="000000"/>
        </w:rPr>
        <w:t>～</w:t>
      </w:r>
      <w:r>
        <w:rPr>
          <w:rFonts w:ascii="Times New Roman" w:hAnsi="Times New Roman" w:eastAsia="Times New Roman" w:cs="Times New Roman"/>
          <w:color w:val="000000"/>
        </w:rPr>
        <w:t>1000</w:t>
      </w:r>
      <w:r>
        <w:rPr>
          <w:rFonts w:ascii="楷体" w:hAnsi="楷体" w:eastAsia="楷体" w:cs="楷体"/>
          <w:color w:val="000000"/>
        </w:rPr>
        <w:t>米，线路长度增加几十米，工程难度显著加大。</w:t>
      </w:r>
    </w:p>
    <w:p w14:paraId="73374DC7">
      <w:pPr>
        <w:spacing w:line="360" w:lineRule="auto"/>
        <w:jc w:val="left"/>
        <w:textAlignment w:val="center"/>
        <w:rPr>
          <w:color w:val="000000"/>
        </w:rPr>
      </w:pPr>
      <w:r>
        <w:rPr>
          <w:color w:val="000000"/>
        </w:rPr>
        <w:drawing>
          <wp:inline distT="0" distB="0" distL="114300" distR="114300">
            <wp:extent cx="3086100" cy="26289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086100" cy="2628900"/>
                    </a:xfrm>
                    <a:prstGeom prst="rect">
                      <a:avLst/>
                    </a:prstGeom>
                  </pic:spPr>
                </pic:pic>
              </a:graphicData>
            </a:graphic>
          </wp:inline>
        </w:drawing>
      </w:r>
    </w:p>
    <w:p w14:paraId="2BFF29A2">
      <w:pPr>
        <w:spacing w:line="360" w:lineRule="auto"/>
        <w:jc w:val="left"/>
        <w:textAlignment w:val="center"/>
        <w:rPr>
          <w:color w:val="000000"/>
        </w:rPr>
      </w:pPr>
      <w:r>
        <w:rPr>
          <w:color w:val="000000"/>
        </w:rPr>
        <w:t>（1）</w:t>
      </w:r>
      <w:r>
        <w:rPr>
          <w:rFonts w:ascii="宋体" w:hAnsi="宋体" w:eastAsia="宋体" w:cs="宋体"/>
          <w:color w:val="000000"/>
        </w:rPr>
        <w:t>藏中地区水能资源丰富，却面临缺电问题，试分析原因。</w:t>
      </w:r>
    </w:p>
    <w:p w14:paraId="0C0DC54A">
      <w:pPr>
        <w:spacing w:line="360" w:lineRule="auto"/>
        <w:jc w:val="left"/>
        <w:textAlignment w:val="center"/>
        <w:rPr>
          <w:color w:val="000000"/>
        </w:rPr>
      </w:pPr>
      <w:r>
        <w:rPr>
          <w:color w:val="000000"/>
        </w:rPr>
        <w:t>（2）</w:t>
      </w:r>
      <w:r>
        <w:rPr>
          <w:rFonts w:ascii="宋体" w:hAnsi="宋体" w:eastAsia="宋体" w:cs="宋体"/>
          <w:color w:val="000000"/>
        </w:rPr>
        <w:t>输电线选线一般应减少建设长度，而藏中联网工程却延长了建设长度。分析这样做的目的。</w:t>
      </w:r>
    </w:p>
    <w:p w14:paraId="13428456">
      <w:pPr>
        <w:spacing w:line="360" w:lineRule="auto"/>
        <w:textAlignment w:val="center"/>
        <w:rPr>
          <w:color w:val="000000"/>
        </w:rPr>
      </w:pPr>
      <w:r>
        <w:rPr>
          <w:color w:val="2E75B6"/>
        </w:rPr>
        <w:t>【答案】</w:t>
      </w:r>
      <w:r>
        <w:rPr>
          <w:color w:val="000000"/>
        </w:rPr>
        <w:t>（1）</w:t>
      </w:r>
      <w:r>
        <w:rPr>
          <w:rFonts w:ascii="宋体" w:hAnsi="宋体" w:eastAsia="宋体" w:cs="宋体"/>
          <w:color w:val="000000"/>
        </w:rPr>
        <w:t>藏中地区经济发展快，电力需求量增长快；水电建设周期长，开发利用率低；该地地形、地质条件复杂，生态环境脆弱，水电建设难度大。</w:t>
      </w:r>
      <w:r>
        <w:rPr>
          <w:color w:val="000000"/>
        </w:rPr>
        <w:t xml:space="preserve">    </w:t>
      </w:r>
    </w:p>
    <w:p w14:paraId="1C52F8E3">
      <w:pPr>
        <w:spacing w:line="360" w:lineRule="auto"/>
        <w:textAlignment w:val="center"/>
        <w:rPr>
          <w:color w:val="000000"/>
        </w:rPr>
      </w:pPr>
      <w:r>
        <w:rPr>
          <w:color w:val="000000"/>
        </w:rPr>
        <w:t>（2）</w:t>
      </w:r>
      <w:r>
        <w:rPr>
          <w:rFonts w:ascii="宋体" w:hAnsi="宋体" w:eastAsia="宋体" w:cs="宋体"/>
          <w:color w:val="000000"/>
        </w:rPr>
        <w:t>可以避开地形、地质条件复杂地区；避免穿过生态脆弱区，减少对自然环境的破坏，保护自然景观。</w:t>
      </w:r>
    </w:p>
    <w:p w14:paraId="5E345932">
      <w:pPr>
        <w:spacing w:line="360" w:lineRule="auto"/>
        <w:textAlignment w:val="center"/>
        <w:rPr>
          <w:color w:val="000000"/>
        </w:rPr>
      </w:pPr>
      <w:r>
        <w:rPr>
          <w:color w:val="2E75B6"/>
        </w:rPr>
        <w:t>【解析】</w:t>
      </w:r>
    </w:p>
    <w:p w14:paraId="65BCA5F7">
      <w:pPr>
        <w:spacing w:line="360" w:lineRule="auto"/>
        <w:jc w:val="left"/>
        <w:textAlignment w:val="center"/>
        <w:rPr>
          <w:color w:val="000000"/>
        </w:rPr>
      </w:pPr>
      <w:r>
        <w:rPr>
          <w:color w:val="000000"/>
        </w:rPr>
        <w:t>【分析】本题以藏中地区为背景材料，涉及能源资源的开发的相关知识，主要考查学生获取和解读地理信息的能力，体现学生区域认知、综合思维、人地协调观等学科素养。</w:t>
      </w:r>
    </w:p>
    <w:p w14:paraId="0A056A1D">
      <w:pPr>
        <w:spacing w:line="360" w:lineRule="auto"/>
        <w:jc w:val="left"/>
        <w:textAlignment w:val="center"/>
        <w:rPr>
          <w:color w:val="000000"/>
        </w:rPr>
      </w:pPr>
      <w:r>
        <w:rPr>
          <w:color w:val="000000"/>
        </w:rPr>
        <w:t>【小问1详解】</w:t>
      </w:r>
    </w:p>
    <w:p w14:paraId="52893272">
      <w:pPr>
        <w:spacing w:line="360" w:lineRule="auto"/>
        <w:jc w:val="left"/>
        <w:textAlignment w:val="center"/>
        <w:rPr>
          <w:color w:val="000000"/>
        </w:rPr>
      </w:pPr>
      <w:r>
        <w:rPr>
          <w:color w:val="000000"/>
        </w:rPr>
        <w:t>藏中地区水能资源丰富，却面临缺电问题，主要是因为电能的市场需求增长快，水能资源没有充分开发所致。其原因既有自然方面又有社会经济方面。自然条件：该地地处青藏高原，地形、地质条件复杂；海拔高，气温低，生态环境脆弱，水电建设难度大。社会经济方面：藏中地区经济发展快，对电力需求大，增长快；水电建设周期长，开发利用率低等。</w:t>
      </w:r>
    </w:p>
    <w:p w14:paraId="28EBF51D">
      <w:pPr>
        <w:spacing w:line="360" w:lineRule="auto"/>
        <w:jc w:val="left"/>
        <w:textAlignment w:val="center"/>
        <w:rPr>
          <w:color w:val="000000"/>
        </w:rPr>
      </w:pPr>
      <w:r>
        <w:rPr>
          <w:color w:val="000000"/>
        </w:rPr>
        <w:t>【小问2详解】</w:t>
      </w:r>
    </w:p>
    <w:p w14:paraId="4DD89CA0">
      <w:pPr>
        <w:spacing w:line="360" w:lineRule="auto"/>
        <w:jc w:val="left"/>
        <w:textAlignment w:val="center"/>
        <w:rPr>
          <w:color w:val="000000"/>
        </w:rPr>
      </w:pPr>
      <w:r>
        <w:rPr>
          <w:color w:val="000000"/>
        </w:rPr>
        <w:t>由材料可知，“工程线路建设中，某些路段采用高跨越、绕行等方式，海拔平均提升800～1000米，线路长度增加几十米，工程难度显著加大”可知，工程线路建设中，采用高跨越、绕行等方式，主要是为了减少对自然环境的破坏，保护自然景观；避免穿过生态脆弱区，保护生态环境；避开地形、地质条件复杂地区，提高安全性等。</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U5NDhmZWJhNWNkY2VlZDY1MDE2OWI5YjY3MzQzNWU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E1C32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wmf"/><Relationship Id="rId11" Type="http://schemas.openxmlformats.org/officeDocument/2006/relationships/image" Target="media/image8.wmf"/><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13</Pages>
  <Words>8951</Words>
  <Characters>9265</Characters>
  <TotalTime>0</TotalTime>
  <ScaleCrop>false</ScaleCrop>
  <LinksUpToDate>false</LinksUpToDate>
  <CharactersWithSpaces>9523</CharactersWithSpaces>
  <Application>WPS Office_12.1.0.18608_F1E327BC-269C-435d-A152-05C5408002CA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2024-11-06T08:11:42Z</dcterms:created>
  <dcterms:modified xsi:type="dcterms:W3CDTF">2024-11-06T08:13:02Z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48DC550B7CD344C6B6E72724836371FA_12</vt:lpwstr>
  </property>
</Properties>
</file>