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9D664">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default" w:ascii="Times New Roman" w:hAnsi="Times New Roman" w:eastAsia="宋体" w:cs="Times New Roman"/>
          <w:b/>
          <w:bCs/>
          <w:spacing w:val="7"/>
          <w:kern w:val="0"/>
          <w:sz w:val="21"/>
          <w:szCs w:val="21"/>
          <w:lang w:val="en-US" w:eastAsia="zh-CN" w:bidi="ar"/>
        </w:rPr>
      </w:pPr>
      <w:r>
        <w:rPr>
          <w:rFonts w:hint="default" w:ascii="Times New Roman" w:hAnsi="Times New Roman" w:eastAsia="宋体" w:cs="Times New Roman"/>
          <w:b/>
          <w:bCs/>
          <w:spacing w:val="7"/>
          <w:kern w:val="0"/>
          <w:sz w:val="21"/>
          <w:szCs w:val="21"/>
          <w:lang w:val="en-US" w:eastAsia="zh-CN" w:bidi="ar"/>
        </w:rPr>
        <w:drawing>
          <wp:anchor distT="0" distB="0" distL="114300" distR="114300" simplePos="0" relativeHeight="251659264" behindDoc="0" locked="0" layoutInCell="1" allowOverlap="1">
            <wp:simplePos x="0" y="0"/>
            <wp:positionH relativeFrom="page">
              <wp:posOffset>11049000</wp:posOffset>
            </wp:positionH>
            <wp:positionV relativeFrom="topMargin">
              <wp:posOffset>11366500</wp:posOffset>
            </wp:positionV>
            <wp:extent cx="330200" cy="3937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330200" cy="393700"/>
                    </a:xfrm>
                    <a:prstGeom prst="rect">
                      <a:avLst/>
                    </a:prstGeom>
                  </pic:spPr>
                </pic:pic>
              </a:graphicData>
            </a:graphic>
          </wp:anchor>
        </w:drawing>
      </w:r>
      <w:r>
        <w:rPr>
          <w:rFonts w:hint="default" w:ascii="Times New Roman" w:hAnsi="Times New Roman" w:eastAsia="宋体" w:cs="Times New Roman"/>
          <w:b/>
          <w:bCs/>
          <w:spacing w:val="7"/>
          <w:kern w:val="0"/>
          <w:sz w:val="21"/>
          <w:szCs w:val="21"/>
          <w:lang w:val="en-US" w:eastAsia="zh-CN" w:bidi="ar"/>
        </w:rPr>
        <w:t>湖北名校联盟2025届第二次高三联合测评政治试题</w:t>
      </w:r>
    </w:p>
    <w:p w14:paraId="2CEE63DB">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spacing w:val="7"/>
          <w:kern w:val="0"/>
          <w:sz w:val="21"/>
          <w:szCs w:val="21"/>
          <w:lang w:val="en-US" w:eastAsia="zh-CN" w:bidi="ar"/>
        </w:rPr>
      </w:pPr>
      <w:r>
        <w:rPr>
          <w:rFonts w:hint="default" w:ascii="Times New Roman" w:hAnsi="Times New Roman" w:eastAsia="宋体" w:cs="Times New Roman"/>
          <w:spacing w:val="7"/>
          <w:kern w:val="0"/>
          <w:sz w:val="21"/>
          <w:szCs w:val="21"/>
          <w:lang w:val="en-US" w:eastAsia="zh-CN" w:bidi="ar"/>
        </w:rPr>
        <w:t>选择题：本题共16小题，每小题3分，共48分。在每小题给出的四个选项中，只有一项是符合题目要求的。</w:t>
      </w:r>
    </w:p>
    <w:p w14:paraId="2BCD6339">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spacing w:val="7"/>
          <w:kern w:val="0"/>
          <w:sz w:val="21"/>
          <w:szCs w:val="21"/>
          <w:lang w:val="en-US" w:eastAsia="zh-CN" w:bidi="ar"/>
        </w:rPr>
        <w:t>《共产党宣言》指出：</w:t>
      </w:r>
      <w:r>
        <w:rPr>
          <w:rFonts w:hint="eastAsia" w:ascii="Times New Roman" w:hAnsi="Times New Roman" w:eastAsia="宋体" w:cs="Times New Roman"/>
          <w:spacing w:val="7"/>
          <w:kern w:val="0"/>
          <w:sz w:val="21"/>
          <w:szCs w:val="21"/>
          <w:lang w:val="en-US" w:eastAsia="zh-CN" w:bidi="ar"/>
        </w:rPr>
        <w:t>“</w:t>
      </w:r>
      <w:r>
        <w:rPr>
          <w:rFonts w:hint="default" w:ascii="Times New Roman" w:hAnsi="Times New Roman" w:eastAsia="宋体" w:cs="Times New Roman"/>
          <w:spacing w:val="7"/>
          <w:kern w:val="0"/>
          <w:sz w:val="21"/>
          <w:szCs w:val="21"/>
          <w:lang w:val="en-US" w:eastAsia="zh-CN" w:bidi="ar"/>
        </w:rPr>
        <w:t>阶级斗争越发展和越具有确定的形式，这种超乎阶级斗争的幻想，这种反对阶级斗争的幻想，就越失去任何实践意义和任何理论根据。</w:t>
      </w:r>
      <w:r>
        <w:rPr>
          <w:rFonts w:hint="eastAsia" w:ascii="Times New Roman" w:hAnsi="Times New Roman" w:eastAsia="宋体" w:cs="Times New Roman"/>
          <w:spacing w:val="7"/>
          <w:kern w:val="0"/>
          <w:sz w:val="21"/>
          <w:szCs w:val="21"/>
          <w:lang w:val="en-US" w:eastAsia="zh-CN" w:bidi="ar"/>
        </w:rPr>
        <w:t>”</w:t>
      </w:r>
      <w:r>
        <w:rPr>
          <w:rFonts w:hint="default" w:ascii="Times New Roman" w:hAnsi="Times New Roman" w:eastAsia="宋体" w:cs="Times New Roman"/>
          <w:spacing w:val="7"/>
          <w:kern w:val="0"/>
          <w:sz w:val="21"/>
          <w:szCs w:val="21"/>
          <w:lang w:val="en-US" w:eastAsia="zh-CN" w:bidi="ar"/>
        </w:rPr>
        <w:t>这种超乎阶级斗争的幻想</w:t>
      </w:r>
      <w:r>
        <w:rPr>
          <w:rFonts w:hint="eastAsia" w:ascii="Times New Roman" w:hAnsi="Times New Roman" w:eastAsia="宋体" w:cs="Times New Roman"/>
          <w:spacing w:val="7"/>
          <w:kern w:val="0"/>
          <w:sz w:val="21"/>
          <w:szCs w:val="21"/>
          <w:lang w:val="en-US" w:eastAsia="zh-CN" w:bidi="ar"/>
        </w:rPr>
        <w:t>（    ）</w:t>
      </w:r>
    </w:p>
    <w:p w14:paraId="7A009A6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①不具有科学性，因而也不具有现实意义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②不是对当时社会阶级矛盾的反映</w:t>
      </w:r>
    </w:p>
    <w:p w14:paraId="381E1E5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③为科学社会主义的产生提供了思想来源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④主张通过阶级调和实现社会变革</w:t>
      </w:r>
    </w:p>
    <w:p w14:paraId="076EB6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A．①②</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B．①③</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C．②④</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D．③④</w:t>
      </w:r>
    </w:p>
    <w:p w14:paraId="546178D0">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7"/>
          <w:kern w:val="0"/>
          <w:sz w:val="21"/>
          <w:szCs w:val="21"/>
          <w:lang w:val="en-US" w:eastAsia="zh-CN" w:bidi="ar"/>
        </w:rPr>
        <w:t>党的二十届三中全会通过的《中共中央关于进一步全面深化改革、推进中国式现代化的决定》要求，完善城乡融合发展体制机制，统筹新型城镇化和乡村全面振兴，完善强农惠农富农支持制度，坚持农业农村优先发展，全面推进乡村振兴。下列做法符合上述要求的是</w:t>
      </w:r>
      <w:r>
        <w:rPr>
          <w:rFonts w:hint="eastAsia" w:ascii="Times New Roman" w:hAnsi="Times New Roman" w:eastAsia="宋体" w:cs="Times New Roman"/>
          <w:spacing w:val="7"/>
          <w:kern w:val="0"/>
          <w:sz w:val="21"/>
          <w:szCs w:val="21"/>
          <w:lang w:val="en-US" w:eastAsia="zh-CN" w:bidi="ar"/>
        </w:rPr>
        <w:t>（     ）</w:t>
      </w:r>
    </w:p>
    <w:p w14:paraId="36B08AF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①持续完善农村</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三权分置</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改革，引导土地所有权有序流转</w:t>
      </w:r>
    </w:p>
    <w:p w14:paraId="2820A8F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②多举措吸引人才返乡创业就业，形成返乡创业政策保障体系</w:t>
      </w:r>
    </w:p>
    <w:p w14:paraId="70E6FD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③探索建立农民宅基地的长期租赁制度，增加农民转移性收入</w:t>
      </w:r>
    </w:p>
    <w:p w14:paraId="3AA3DDC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④推进城乡基本公共服务均等化，消除城乡融合发展体制机制障碍</w:t>
      </w:r>
    </w:p>
    <w:p w14:paraId="1C52E5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A．①③</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B．①④</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C．②③</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D．②④</w:t>
      </w:r>
    </w:p>
    <w:p w14:paraId="534638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cs="Times New Roman"/>
          <w:spacing w:val="7"/>
          <w:kern w:val="0"/>
          <w:sz w:val="21"/>
          <w:szCs w:val="21"/>
          <w:lang w:val="en-US" w:eastAsia="zh-CN" w:bidi="ar"/>
        </w:rPr>
      </w:pPr>
      <w:r>
        <w:rPr>
          <w:rFonts w:hint="default" w:ascii="Times New Roman" w:hAnsi="Times New Roman" w:eastAsia="宋体" w:cs="Times New Roman"/>
          <w:spacing w:val="7"/>
          <w:kern w:val="0"/>
          <w:sz w:val="21"/>
          <w:szCs w:val="21"/>
          <w:lang w:val="en-US" w:eastAsia="zh-CN" w:bidi="ar"/>
        </w:rPr>
        <w:t>3．制度型开放是相对于商品和要素流动型开放而言的，其核心是主动对标和对接国际先进的市场规则、规制和制度，形成与国际贸易和投资通行规则相衔接的基本制度体系和监管模式。以下属于通过制度型开放助推中国经济高质量发展的传导路径正确的是</w:t>
      </w:r>
      <w:r>
        <w:rPr>
          <w:rFonts w:hint="eastAsia" w:ascii="Times New Roman" w:hAnsi="Times New Roman" w:eastAsia="宋体" w:cs="Times New Roman"/>
          <w:spacing w:val="7"/>
          <w:kern w:val="0"/>
          <w:sz w:val="21"/>
          <w:szCs w:val="21"/>
          <w:lang w:val="en-US" w:eastAsia="zh-CN" w:bidi="ar"/>
        </w:rPr>
        <w:t>（    ）</w:t>
      </w:r>
    </w:p>
    <w:p w14:paraId="7E9A0A9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①加强中国法域外适用法律体系建设→防范对外投资风险→保护我国企业合法利益</w:t>
      </w:r>
    </w:p>
    <w:p w14:paraId="5606FEE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②健全知识产权司法保护制度→优化国际化营商环境→扩大国内外投资和技术合作</w:t>
      </w:r>
    </w:p>
    <w:p w14:paraId="6AD5FB9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③扩大高新技术产品出口→畅通国内国际双循环→充分利用两种资源、两个市场</w:t>
      </w:r>
    </w:p>
    <w:p w14:paraId="1614C30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④实施数字贸易</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负面清单</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制度→增强国际规则制定话语权→构建国际经济新秩序</w:t>
      </w:r>
    </w:p>
    <w:p w14:paraId="21FFE47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A．①②</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B．①③</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C．②④</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D．③④</w:t>
      </w:r>
    </w:p>
    <w:p w14:paraId="6CDF48F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both"/>
        <w:textAlignment w:val="auto"/>
        <w:rPr>
          <w:rFonts w:hint="default" w:ascii="Times New Roman" w:hAnsi="Times New Roman" w:eastAsia="宋体" w:cs="Times New Roman"/>
          <w:spacing w:val="7"/>
          <w:kern w:val="0"/>
          <w:sz w:val="21"/>
          <w:szCs w:val="21"/>
          <w:lang w:val="en-US" w:eastAsia="zh-CN" w:bidi="ar"/>
        </w:rPr>
      </w:pPr>
      <w:r>
        <w:rPr>
          <w:rFonts w:hint="default" w:ascii="Times New Roman" w:hAnsi="Times New Roman" w:eastAsia="宋体" w:cs="Times New Roman"/>
          <w:spacing w:val="7"/>
          <w:kern w:val="0"/>
          <w:sz w:val="21"/>
          <w:szCs w:val="21"/>
          <w:lang w:val="en-US" w:eastAsia="zh-CN" w:bidi="ar"/>
        </w:rPr>
        <w:t>4．产业贡献率是指三大产业增加值增量与GDP增量之比。下表显示了我国三大产业对GDP的贡献率。</w:t>
      </w:r>
      <w:r>
        <w:rPr>
          <w:rFonts w:hint="default" w:ascii="Times New Roman" w:hAnsi="Times New Roman" w:eastAsia="宋体" w:cs="Times New Roman"/>
          <w:spacing w:val="7"/>
          <w:kern w:val="0"/>
          <w:sz w:val="21"/>
          <w:szCs w:val="21"/>
          <w:lang w:val="en-US" w:eastAsia="zh-CN" w:bidi="ar"/>
        </w:rPr>
        <w:drawing>
          <wp:inline distT="0" distB="0" distL="114300" distR="114300">
            <wp:extent cx="6753225" cy="1641475"/>
            <wp:effectExtent l="0" t="0" r="317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6753225" cy="1641475"/>
                    </a:xfrm>
                    <a:prstGeom prst="rect">
                      <a:avLst/>
                    </a:prstGeom>
                    <a:noFill/>
                    <a:ln w="9525">
                      <a:noFill/>
                    </a:ln>
                  </pic:spPr>
                </pic:pic>
              </a:graphicData>
            </a:graphic>
          </wp:inline>
        </w:drawing>
      </w:r>
      <w:r>
        <w:rPr>
          <w:rFonts w:hint="default" w:ascii="Times New Roman" w:hAnsi="Times New Roman" w:eastAsia="宋体" w:cs="Times New Roman"/>
          <w:spacing w:val="7"/>
          <w:kern w:val="0"/>
          <w:sz w:val="21"/>
          <w:szCs w:val="21"/>
          <w:lang w:val="en-US" w:eastAsia="zh-CN" w:bidi="ar"/>
        </w:rPr>
        <w:t>数据来源：《中国统计年鉴（2023）》</w:t>
      </w:r>
    </w:p>
    <w:p w14:paraId="566EE80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据此，下列关于我国经济发展状况说法正确的是</w:t>
      </w:r>
      <w:r>
        <w:rPr>
          <w:rFonts w:hint="eastAsia" w:ascii="Times New Roman" w:hAnsi="Times New Roman" w:eastAsia="宋体" w:cs="Times New Roman"/>
          <w:kern w:val="0"/>
          <w:sz w:val="21"/>
          <w:szCs w:val="21"/>
          <w:lang w:val="en-US" w:eastAsia="zh-CN" w:bidi="ar"/>
        </w:rPr>
        <w:t>（     ）</w:t>
      </w:r>
    </w:p>
    <w:p w14:paraId="55C3041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①随着国家经济实力增强，第一产业总产值会波动下降</w:t>
      </w:r>
      <w:r>
        <w:rPr>
          <w:rFonts w:hint="eastAsia" w:ascii="Times New Roman" w:hAnsi="Times New Roman" w:eastAsia="宋体" w:cs="Times New Roman"/>
          <w:kern w:val="0"/>
          <w:sz w:val="21"/>
          <w:szCs w:val="21"/>
          <w:lang w:val="en-US" w:eastAsia="zh-CN" w:bidi="ar"/>
        </w:rPr>
        <w:t xml:space="preserve"> </w:t>
      </w:r>
    </w:p>
    <w:p w14:paraId="5EAE7D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②第二产业贡献率保持在高位，奠定了第二产业的基础地位</w:t>
      </w:r>
    </w:p>
    <w:p w14:paraId="76FC619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③随着经济高质量发展，第三产业贡献率呈波动上升趋势</w:t>
      </w:r>
    </w:p>
    <w:p w14:paraId="109CAD1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④我国一二三产业发展的协同性增强，产业结构不断优化</w:t>
      </w:r>
    </w:p>
    <w:p w14:paraId="49D8774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A．①②</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B．①③</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C．②④</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D．③④</w:t>
      </w:r>
    </w:p>
    <w:p w14:paraId="44BF4A5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spacing w:val="7"/>
          <w:kern w:val="0"/>
          <w:sz w:val="21"/>
          <w:szCs w:val="21"/>
          <w:lang w:val="en-US" w:eastAsia="zh-CN" w:bidi="ar"/>
        </w:rPr>
      </w:pPr>
      <w:r>
        <w:rPr>
          <w:rFonts w:hint="default" w:ascii="Times New Roman" w:hAnsi="Times New Roman" w:eastAsia="宋体" w:cs="Times New Roman"/>
          <w:spacing w:val="7"/>
          <w:kern w:val="0"/>
          <w:sz w:val="21"/>
          <w:szCs w:val="21"/>
          <w:lang w:val="en-US" w:eastAsia="zh-CN" w:bidi="ar"/>
        </w:rPr>
        <w:t>5．截至2024年7月底，中国已经与157个国家签署了互免签证协议，与44个国家达成了简化签证手续的协定。中国免签</w:t>
      </w:r>
      <w:r>
        <w:rPr>
          <w:rFonts w:hint="eastAsia" w:ascii="Times New Roman" w:hAnsi="Times New Roman" w:eastAsia="宋体" w:cs="Times New Roman"/>
          <w:spacing w:val="7"/>
          <w:kern w:val="0"/>
          <w:sz w:val="21"/>
          <w:szCs w:val="21"/>
          <w:lang w:val="en-US" w:eastAsia="zh-CN" w:bidi="ar"/>
        </w:rPr>
        <w:t>“</w:t>
      </w:r>
      <w:r>
        <w:rPr>
          <w:rFonts w:hint="default" w:ascii="Times New Roman" w:hAnsi="Times New Roman" w:eastAsia="宋体" w:cs="Times New Roman"/>
          <w:spacing w:val="7"/>
          <w:kern w:val="0"/>
          <w:sz w:val="21"/>
          <w:szCs w:val="21"/>
          <w:lang w:val="en-US" w:eastAsia="zh-CN" w:bidi="ar"/>
        </w:rPr>
        <w:t>朋友圈</w:t>
      </w:r>
      <w:r>
        <w:rPr>
          <w:rFonts w:hint="eastAsia" w:ascii="Times New Roman" w:hAnsi="Times New Roman" w:eastAsia="宋体" w:cs="Times New Roman"/>
          <w:spacing w:val="7"/>
          <w:kern w:val="0"/>
          <w:sz w:val="21"/>
          <w:szCs w:val="21"/>
          <w:lang w:val="en-US" w:eastAsia="zh-CN" w:bidi="ar"/>
        </w:rPr>
        <w:t>”</w:t>
      </w:r>
      <w:r>
        <w:rPr>
          <w:rFonts w:hint="default" w:ascii="Times New Roman" w:hAnsi="Times New Roman" w:eastAsia="宋体" w:cs="Times New Roman"/>
          <w:spacing w:val="7"/>
          <w:kern w:val="0"/>
          <w:sz w:val="21"/>
          <w:szCs w:val="21"/>
          <w:lang w:val="en-US" w:eastAsia="zh-CN" w:bidi="ar"/>
        </w:rPr>
        <w:t>持续扩容，为畅通中外人员往来提供更多便利，受到国际社会的广泛欢迎。中国与相关国家互免签证</w:t>
      </w:r>
      <w:r>
        <w:rPr>
          <w:rFonts w:hint="eastAsia" w:ascii="Times New Roman" w:hAnsi="Times New Roman" w:eastAsia="宋体" w:cs="Times New Roman"/>
          <w:spacing w:val="7"/>
          <w:kern w:val="0"/>
          <w:sz w:val="21"/>
          <w:szCs w:val="21"/>
          <w:lang w:val="en-US" w:eastAsia="zh-CN" w:bidi="ar"/>
        </w:rPr>
        <w:t xml:space="preserve">（   ）    </w:t>
      </w:r>
    </w:p>
    <w:p w14:paraId="2D89AA8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①旨在推动时代主题的变化，是积极践行多边主义的生动体现</w:t>
      </w:r>
    </w:p>
    <w:p w14:paraId="05594CA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②实现了出入境手续的简化，能更好促进中外交流与合作</w:t>
      </w:r>
    </w:p>
    <w:p w14:paraId="2B8C0E7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③展现了中国开放包容的形象，能提高我国的国际影响力</w:t>
      </w:r>
      <w:r>
        <w:rPr>
          <w:rFonts w:hint="eastAsia" w:ascii="Times New Roman" w:hAnsi="Times New Roman" w:eastAsia="宋体"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④表明对外开放是现阶段我国经济社会发展的根本基点</w:t>
      </w:r>
    </w:p>
    <w:p w14:paraId="157D0116">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①②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 xml:space="preserve">B．①④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 xml:space="preserve">C．②③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D．③④</w:t>
      </w:r>
    </w:p>
    <w:p w14:paraId="5B29EE2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spacing w:val="7"/>
          <w:kern w:val="0"/>
          <w:sz w:val="21"/>
          <w:szCs w:val="21"/>
          <w:lang w:val="en-US" w:eastAsia="zh-CN" w:bidi="ar"/>
        </w:rPr>
      </w:pPr>
      <w:r>
        <w:rPr>
          <w:rFonts w:hint="default" w:ascii="Times New Roman" w:hAnsi="Times New Roman" w:eastAsia="宋体" w:cs="Times New Roman"/>
          <w:spacing w:val="7"/>
          <w:kern w:val="0"/>
          <w:sz w:val="21"/>
          <w:szCs w:val="21"/>
          <w:lang w:val="en-US" w:eastAsia="zh-CN" w:bidi="ar"/>
        </w:rPr>
        <w:t>6．2023年，我国对外直接投资流量达1772.9亿美元，较上年增长8.7%，占全球份额的11.4%，连续12年位列全球前三。我国境外企业投资已覆盖全球超过80%的国家和地区，相关企业的投资领域持续多元化，其中，对信息传输、软件和信息技术服务业的投资增速均超过30%。这表明</w:t>
      </w:r>
      <w:r>
        <w:rPr>
          <w:rFonts w:hint="eastAsia" w:ascii="Times New Roman" w:hAnsi="Times New Roman" w:eastAsia="宋体" w:cs="Times New Roman"/>
          <w:spacing w:val="7"/>
          <w:kern w:val="0"/>
          <w:sz w:val="21"/>
          <w:szCs w:val="21"/>
          <w:lang w:val="en-US" w:eastAsia="zh-CN" w:bidi="ar"/>
        </w:rPr>
        <w:t>（     ）</w:t>
      </w:r>
    </w:p>
    <w:p w14:paraId="0A8B121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①我国积极参与经济全球化进程，助推世界经济发展</w:t>
      </w:r>
    </w:p>
    <w:p w14:paraId="7D4FB2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②随着国际分工的深化，各国的经济发展空间不断扩大</w:t>
      </w:r>
    </w:p>
    <w:p w14:paraId="54047C4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③我国对外投资结构持续优化，</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走出去</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水平不断提高</w:t>
      </w:r>
    </w:p>
    <w:p w14:paraId="055F33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④我国对外贸易规模快速扩大，国际竞争力不断增强</w:t>
      </w:r>
    </w:p>
    <w:p w14:paraId="4EE05B44">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①②</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 xml:space="preserve">B．①③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 xml:space="preserve">C．②④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D．③④</w:t>
      </w:r>
    </w:p>
    <w:p w14:paraId="117E2B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cs="Times New Roman"/>
          <w:spacing w:val="7"/>
          <w:kern w:val="0"/>
          <w:sz w:val="21"/>
          <w:szCs w:val="21"/>
          <w:lang w:val="en-US" w:eastAsia="zh-CN" w:bidi="ar"/>
        </w:rPr>
      </w:pPr>
      <w:r>
        <w:rPr>
          <w:rFonts w:hint="default" w:ascii="Times New Roman" w:hAnsi="Times New Roman" w:eastAsia="宋体" w:cs="Times New Roman"/>
          <w:spacing w:val="7"/>
          <w:kern w:val="0"/>
          <w:sz w:val="21"/>
          <w:szCs w:val="21"/>
          <w:lang w:val="en-US" w:eastAsia="zh-CN" w:bidi="ar"/>
        </w:rPr>
        <w:t>7．2024年以来，某市积极探索建立</w:t>
      </w:r>
      <w:r>
        <w:rPr>
          <w:rFonts w:hint="eastAsia" w:ascii="Times New Roman" w:hAnsi="Times New Roman" w:eastAsia="宋体" w:cs="Times New Roman"/>
          <w:spacing w:val="7"/>
          <w:kern w:val="0"/>
          <w:sz w:val="21"/>
          <w:szCs w:val="21"/>
          <w:lang w:val="en-US" w:eastAsia="zh-CN" w:bidi="ar"/>
        </w:rPr>
        <w:t>“</w:t>
      </w:r>
      <w:r>
        <w:rPr>
          <w:rFonts w:hint="default" w:ascii="Times New Roman" w:hAnsi="Times New Roman" w:eastAsia="宋体" w:cs="Times New Roman"/>
          <w:spacing w:val="7"/>
          <w:kern w:val="0"/>
          <w:sz w:val="21"/>
          <w:szCs w:val="21"/>
          <w:lang w:val="en-US" w:eastAsia="zh-CN" w:bidi="ar"/>
        </w:rPr>
        <w:t>政协+检察</w:t>
      </w:r>
      <w:r>
        <w:rPr>
          <w:rFonts w:hint="eastAsia" w:ascii="Times New Roman" w:hAnsi="Times New Roman" w:eastAsia="宋体" w:cs="Times New Roman"/>
          <w:spacing w:val="7"/>
          <w:kern w:val="0"/>
          <w:sz w:val="21"/>
          <w:szCs w:val="21"/>
          <w:lang w:val="en-US" w:eastAsia="zh-CN" w:bidi="ar"/>
        </w:rPr>
        <w:t>”</w:t>
      </w:r>
      <w:r>
        <w:rPr>
          <w:rFonts w:hint="default" w:ascii="Times New Roman" w:hAnsi="Times New Roman" w:eastAsia="宋体" w:cs="Times New Roman"/>
          <w:spacing w:val="7"/>
          <w:kern w:val="0"/>
          <w:sz w:val="21"/>
          <w:szCs w:val="21"/>
          <w:lang w:val="en-US" w:eastAsia="zh-CN" w:bidi="ar"/>
        </w:rPr>
        <w:t>协同监督长效机制，由检察院定期梳理相关检察建议交由政协转化为政协建议，政协在监督中发现属于检察监督范围的事项则交由检察院审查办理，呈现出市县联动、全域覆盖、纵深推进助力公益保护的良好态势。这一机制</w:t>
      </w:r>
      <w:r>
        <w:rPr>
          <w:rFonts w:hint="eastAsia" w:ascii="Times New Roman" w:hAnsi="Times New Roman" w:eastAsia="宋体" w:cs="Times New Roman"/>
          <w:spacing w:val="7"/>
          <w:kern w:val="0"/>
          <w:sz w:val="21"/>
          <w:szCs w:val="21"/>
          <w:lang w:val="en-US" w:eastAsia="zh-CN" w:bidi="ar"/>
        </w:rPr>
        <w:t xml:space="preserve">（    ）    </w:t>
      </w:r>
    </w:p>
    <w:p w14:paraId="7BF4241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①增强了国家机关之间的协作与配合，有利于提高监督实效</w:t>
      </w:r>
    </w:p>
    <w:p w14:paraId="078D4C4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②充分发挥了政协的民主监督和检察机关的法律监督两大优势</w:t>
      </w:r>
    </w:p>
    <w:p w14:paraId="5A7FF61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③创新了政协和检察机关的履职方式，能助推实现全过程人民民主</w:t>
      </w:r>
    </w:p>
    <w:p w14:paraId="6DFC7F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④扩大了政协和检察机关的监督职权，有利于完善协同监督机制</w:t>
      </w:r>
    </w:p>
    <w:p w14:paraId="1457212A">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①②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 xml:space="preserve">B．①④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 xml:space="preserve">C．②③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D．③④</w:t>
      </w:r>
    </w:p>
    <w:p w14:paraId="06242ED8">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spacing w:val="7"/>
          <w:kern w:val="0"/>
          <w:sz w:val="21"/>
          <w:szCs w:val="21"/>
          <w:lang w:val="en-US" w:eastAsia="zh-CN" w:bidi="ar"/>
        </w:rPr>
      </w:pPr>
      <w:r>
        <w:rPr>
          <w:rFonts w:hint="default" w:ascii="Times New Roman" w:hAnsi="Times New Roman" w:eastAsia="宋体" w:cs="Times New Roman"/>
          <w:spacing w:val="7"/>
          <w:kern w:val="0"/>
          <w:sz w:val="21"/>
          <w:szCs w:val="21"/>
          <w:lang w:val="en-US" w:eastAsia="zh-CN" w:bidi="ar"/>
        </w:rPr>
        <w:t>根据党中央的决策部署，在向社会公开并广泛征求各方意见的基础上，十四届全国人大常委会第十一次会议表决通过了新修订的国防教育法，进一步明确了国防教育的内涵定位、指导思想、领导体制和工作职责等。这表明（   ）</w:t>
      </w:r>
    </w:p>
    <w:p w14:paraId="0A9B270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①全国人大常委会在党的领导下行使最高立法权</w:t>
      </w:r>
      <w:r>
        <w:rPr>
          <w:rFonts w:hint="eastAsia" w:ascii="Times New Roman" w:hAnsi="Times New Roman" w:eastAsia="宋体"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②全国人大常委会坚持科学、民主、依法立法</w:t>
      </w:r>
    </w:p>
    <w:p w14:paraId="122420B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③我国已形成严密的国防教育法治实施和监督体系</w:t>
      </w:r>
      <w:r>
        <w:rPr>
          <w:rFonts w:hint="eastAsia" w:ascii="Times New Roman" w:hAnsi="Times New Roman" w:eastAsia="宋体"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④中国共产党通过法定程序领导人民有效治国理政</w:t>
      </w:r>
    </w:p>
    <w:p w14:paraId="6B2EB86B">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①③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 xml:space="preserve">B．①④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 xml:space="preserve">C．②③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D．②④</w:t>
      </w:r>
    </w:p>
    <w:p w14:paraId="75262B31">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ind w:left="0" w:leftChars="0" w:firstLine="0" w:firstLineChars="0"/>
        <w:jc w:val="left"/>
        <w:textAlignment w:val="auto"/>
        <w:rPr>
          <w:rFonts w:hint="eastAsia" w:ascii="Times New Roman" w:hAnsi="Times New Roman" w:eastAsia="宋体" w:cs="Times New Roman"/>
          <w:spacing w:val="7"/>
          <w:kern w:val="0"/>
          <w:sz w:val="21"/>
          <w:szCs w:val="21"/>
          <w:lang w:val="en-US" w:eastAsia="zh-CN" w:bidi="ar"/>
        </w:rPr>
      </w:pPr>
      <w:r>
        <w:rPr>
          <w:rFonts w:hint="default" w:ascii="Times New Roman" w:hAnsi="Times New Roman" w:eastAsia="宋体" w:cs="Times New Roman"/>
          <w:spacing w:val="7"/>
          <w:kern w:val="0"/>
          <w:sz w:val="21"/>
          <w:szCs w:val="21"/>
          <w:lang w:val="en-US" w:eastAsia="zh-CN" w:bidi="ar"/>
        </w:rPr>
        <w:t>近年来，某市公安局交警大队车辆管理所开展</w:t>
      </w:r>
      <w:r>
        <w:rPr>
          <w:rFonts w:hint="eastAsia" w:ascii="宋体" w:hAnsi="宋体" w:eastAsia="宋体" w:cs="宋体"/>
          <w:spacing w:val="7"/>
          <w:kern w:val="0"/>
          <w:sz w:val="21"/>
          <w:szCs w:val="21"/>
          <w:lang w:val="en-US" w:eastAsia="zh-CN" w:bidi="ar"/>
        </w:rPr>
        <w:t>“放管服”改革，推出网上预约、自助服务、延时服务、上门服务，设置绿色通道，加强与相关部门和机构的合作与联动，引入更多智能化、信息化的技术手段，实现“一窗通办”“一证通办”，让车驾业务快办快结，让群众最多</w:t>
      </w:r>
      <w:r>
        <w:rPr>
          <w:rFonts w:hint="default" w:ascii="Times New Roman" w:hAnsi="Times New Roman" w:eastAsia="宋体" w:cs="Times New Roman"/>
          <w:spacing w:val="7"/>
          <w:kern w:val="0"/>
          <w:sz w:val="21"/>
          <w:szCs w:val="21"/>
          <w:lang w:val="en-US" w:eastAsia="zh-CN" w:bidi="ar"/>
        </w:rPr>
        <w:t>跑一次。该市“放管服”改革</w:t>
      </w:r>
      <w:r>
        <w:rPr>
          <w:rFonts w:hint="eastAsia" w:ascii="Times New Roman" w:hAnsi="Times New Roman" w:eastAsia="宋体" w:cs="Times New Roman"/>
          <w:spacing w:val="7"/>
          <w:kern w:val="0"/>
          <w:sz w:val="21"/>
          <w:szCs w:val="21"/>
          <w:lang w:val="en-US" w:eastAsia="zh-CN" w:bidi="ar"/>
        </w:rPr>
        <w:t>（    ）</w:t>
      </w:r>
    </w:p>
    <w:p w14:paraId="6773CC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①旨在优化车驾服务流程，为群众提供优质服务</w:t>
      </w:r>
    </w:p>
    <w:p w14:paraId="530B529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②旨在强化社会管理，推动政府治理体系现代化</w:t>
      </w:r>
    </w:p>
    <w:p w14:paraId="035F001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③创新了公共服务方式，有利于规范社会秩序</w:t>
      </w:r>
    </w:p>
    <w:p w14:paraId="7D7D475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④完善了执法制度建设，有利于提高司法效率</w:t>
      </w:r>
    </w:p>
    <w:p w14:paraId="303ECCE1">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①③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 xml:space="preserve">B．①④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 xml:space="preserve">C．②③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D．②④</w:t>
      </w:r>
    </w:p>
    <w:p w14:paraId="50EB35C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cs="Times New Roman"/>
          <w:spacing w:val="7"/>
          <w:kern w:val="0"/>
          <w:sz w:val="21"/>
          <w:szCs w:val="21"/>
          <w:lang w:val="en-US" w:eastAsia="zh-CN" w:bidi="ar"/>
        </w:rPr>
      </w:pPr>
      <w:r>
        <w:rPr>
          <w:rFonts w:hint="default" w:ascii="Times New Roman" w:hAnsi="Times New Roman" w:eastAsia="宋体" w:cs="Times New Roman"/>
          <w:spacing w:val="7"/>
          <w:kern w:val="0"/>
          <w:sz w:val="21"/>
          <w:szCs w:val="21"/>
          <w:lang w:val="en-US" w:eastAsia="zh-CN" w:bidi="ar"/>
        </w:rPr>
        <w:t>10．2024年春节前夕，12岁的小红在村中道路燃放</w:t>
      </w:r>
      <w:r>
        <w:rPr>
          <w:rFonts w:hint="eastAsia" w:ascii="宋体" w:hAnsi="宋体" w:eastAsia="宋体" w:cs="宋体"/>
          <w:spacing w:val="7"/>
          <w:kern w:val="0"/>
          <w:sz w:val="21"/>
          <w:szCs w:val="21"/>
          <w:lang w:val="en-US" w:eastAsia="zh-CN" w:bidi="ar"/>
        </w:rPr>
        <w:t>“窜天猴”</w:t>
      </w:r>
      <w:r>
        <w:rPr>
          <w:rFonts w:hint="default" w:ascii="Times New Roman" w:hAnsi="Times New Roman" w:eastAsia="宋体" w:cs="Times New Roman"/>
          <w:spacing w:val="7"/>
          <w:kern w:val="0"/>
          <w:sz w:val="21"/>
          <w:szCs w:val="21"/>
          <w:lang w:val="en-US" w:eastAsia="zh-CN" w:bidi="ar"/>
        </w:rPr>
        <w:t>烟花时，烟花打中了路过的王某，导致王某右眼受伤出血。经鉴定，王某右眼视力损害属于盲目四级，伤残等级为八级。因赔偿事宜协商未果，王某诉至法院，请求赔偿医疗费、护理费、残疾赔偿金等相关损失。对此，下列说法正确的是</w:t>
      </w:r>
      <w:r>
        <w:rPr>
          <w:rFonts w:hint="eastAsia" w:ascii="Times New Roman" w:hAnsi="Times New Roman" w:eastAsia="宋体" w:cs="Times New Roman"/>
          <w:spacing w:val="7"/>
          <w:kern w:val="0"/>
          <w:sz w:val="21"/>
          <w:szCs w:val="21"/>
          <w:lang w:val="en-US" w:eastAsia="zh-CN" w:bidi="ar"/>
        </w:rPr>
        <w:t>（   ）</w:t>
      </w:r>
    </w:p>
    <w:p w14:paraId="2251EFF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①本案件所涉民事法律关系的客体是王某的合法人身利益</w:t>
      </w:r>
    </w:p>
    <w:p w14:paraId="0FC75F3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②小红属于无民事行为能力人，应由其监护人承担侵权责任</w:t>
      </w:r>
    </w:p>
    <w:p w14:paraId="39B9DA5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③小红不是故意伤害王某，对王某受伤不存在法律上的过错</w:t>
      </w:r>
    </w:p>
    <w:p w14:paraId="77CEF5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④在进入审理程序前，法院还可以组织双方当事人进行调解</w:t>
      </w:r>
    </w:p>
    <w:p w14:paraId="40DA9CEE">
      <w:pPr>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①③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 xml:space="preserve">B．①④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 xml:space="preserve">C．②③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D．②④</w:t>
      </w:r>
    </w:p>
    <w:p w14:paraId="33D0127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eastAsia" w:ascii="宋体" w:hAnsi="宋体" w:eastAsia="宋体" w:cs="宋体"/>
          <w:color w:val="333333"/>
          <w:spacing w:val="7"/>
          <w:kern w:val="0"/>
          <w:sz w:val="21"/>
          <w:szCs w:val="21"/>
          <w:shd w:val="clear" w:color="auto" w:fill="FFFFFF"/>
          <w:lang w:val="en-US" w:eastAsia="zh-CN" w:bidi="ar"/>
        </w:rPr>
      </w:pPr>
      <w:r>
        <w:rPr>
          <w:rFonts w:hint="eastAsia" w:ascii="Times New Roman" w:hAnsi="Times New Roman" w:eastAsia="宋体" w:cs="Times New Roman"/>
          <w:color w:val="333333"/>
          <w:spacing w:val="7"/>
          <w:kern w:val="0"/>
          <w:sz w:val="21"/>
          <w:szCs w:val="21"/>
          <w:shd w:val="clear" w:color="auto" w:fill="FFFFFF"/>
          <w:lang w:val="en-US" w:eastAsia="zh-CN" w:bidi="ar"/>
        </w:rPr>
        <w:t>11.</w:t>
      </w:r>
      <w:r>
        <w:rPr>
          <w:rFonts w:hint="default" w:ascii="Times New Roman" w:hAnsi="Times New Roman" w:eastAsia="宋体" w:cs="Times New Roman"/>
          <w:color w:val="333333"/>
          <w:spacing w:val="7"/>
          <w:kern w:val="0"/>
          <w:sz w:val="21"/>
          <w:szCs w:val="21"/>
          <w:shd w:val="clear" w:color="auto" w:fill="FFFFFF"/>
          <w:lang w:val="en-US" w:eastAsia="zh-CN" w:bidi="ar"/>
        </w:rPr>
        <w:t>甲矿业公司招聘员工，王某父子（儿子17周岁）应聘成功并与公司签订了书面劳动合同。合同关于劳动安全责任部分约定：</w:t>
      </w:r>
      <w:r>
        <w:rPr>
          <w:rFonts w:hint="eastAsia" w:ascii="宋体" w:hAnsi="宋体" w:eastAsia="宋体" w:cs="宋体"/>
          <w:color w:val="333333"/>
          <w:spacing w:val="7"/>
          <w:kern w:val="0"/>
          <w:sz w:val="21"/>
          <w:szCs w:val="21"/>
          <w:shd w:val="clear" w:color="auto" w:fill="FFFFFF"/>
          <w:lang w:val="en-US" w:eastAsia="zh-CN" w:bidi="ar"/>
        </w:rPr>
        <w:t>“工作安全自负，工伤概不负责。”入职后，公司安排王某父子下矿井工作，王某父子发现井下粉尘严重，口罩防护效果差，要求公司加配专用防尘面具，公司以已配发口罩为由拒绝,双方为此发生争执。对此,下列说法正确的是（   ）</w:t>
      </w:r>
    </w:p>
    <w:p w14:paraId="6C16996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①王某父子与甲矿业公司签订</w:t>
      </w:r>
      <w:r>
        <w:rPr>
          <w:rFonts w:hint="default" w:ascii="Times New Roman" w:hAnsi="Times New Roman" w:eastAsia="宋体" w:cs="Times New Roman"/>
          <w:color w:val="333333"/>
          <w:kern w:val="0"/>
          <w:sz w:val="21"/>
          <w:szCs w:val="21"/>
          <w:shd w:val="clear" w:color="auto" w:fill="FFFFFF"/>
          <w:lang w:val="en-US" w:eastAsia="zh-CN" w:bidi="ar"/>
        </w:rPr>
        <w:t>的劳动合同无效</w:t>
      </w:r>
    </w:p>
    <w:p w14:paraId="53A3CA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②甲矿业公司可以安排王某父子下井作业</w:t>
      </w:r>
    </w:p>
    <w:p w14:paraId="070A9AC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③甲矿业公司应为王某父子配备防尘面具</w:t>
      </w:r>
    </w:p>
    <w:p w14:paraId="3E9F90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④王某父子可以请工会共同与公司协商解决争执</w:t>
      </w:r>
    </w:p>
    <w:p w14:paraId="1B76861F">
      <w:pPr>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①②</w:t>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default" w:ascii="Times New Roman" w:hAnsi="Times New Roman" w:eastAsia="宋体" w:cs="Times New Roman"/>
          <w:kern w:val="0"/>
          <w:sz w:val="21"/>
          <w:szCs w:val="21"/>
          <w:lang w:val="en-US" w:eastAsia="zh-CN" w:bidi="ar"/>
        </w:rPr>
        <w:t>B．</w:t>
      </w:r>
      <w:r>
        <w:rPr>
          <w:rFonts w:hint="default" w:ascii="Times New Roman" w:hAnsi="Times New Roman" w:eastAsia="宋体" w:cs="Times New Roman"/>
          <w:color w:val="333333"/>
          <w:kern w:val="0"/>
          <w:sz w:val="21"/>
          <w:szCs w:val="21"/>
          <w:shd w:val="clear" w:color="auto" w:fill="FFFFFF"/>
          <w:lang w:val="en-US" w:eastAsia="zh-CN" w:bidi="ar"/>
        </w:rPr>
        <w:t xml:space="preserve">①③ </w:t>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default" w:ascii="Times New Roman" w:hAnsi="Times New Roman" w:eastAsia="宋体" w:cs="Times New Roman"/>
          <w:kern w:val="0"/>
          <w:sz w:val="21"/>
          <w:szCs w:val="21"/>
          <w:lang w:val="en-US" w:eastAsia="zh-CN" w:bidi="ar"/>
        </w:rPr>
        <w:t>C．</w:t>
      </w:r>
      <w:r>
        <w:rPr>
          <w:rFonts w:hint="default" w:ascii="Times New Roman" w:hAnsi="Times New Roman" w:eastAsia="宋体" w:cs="Times New Roman"/>
          <w:color w:val="333333"/>
          <w:kern w:val="0"/>
          <w:sz w:val="21"/>
          <w:szCs w:val="21"/>
          <w:shd w:val="clear" w:color="auto" w:fill="FFFFFF"/>
          <w:lang w:val="en-US" w:eastAsia="zh-CN" w:bidi="ar"/>
        </w:rPr>
        <w:t xml:space="preserve">②③ </w:t>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default" w:ascii="Times New Roman" w:hAnsi="Times New Roman" w:eastAsia="宋体" w:cs="Times New Roman"/>
          <w:kern w:val="0"/>
          <w:sz w:val="21"/>
          <w:szCs w:val="21"/>
          <w:lang w:val="en-US" w:eastAsia="zh-CN" w:bidi="ar"/>
        </w:rPr>
        <w:t>D．</w:t>
      </w:r>
      <w:r>
        <w:rPr>
          <w:rFonts w:hint="default" w:ascii="Times New Roman" w:hAnsi="Times New Roman" w:eastAsia="宋体" w:cs="Times New Roman"/>
          <w:color w:val="333333"/>
          <w:kern w:val="0"/>
          <w:sz w:val="21"/>
          <w:szCs w:val="21"/>
          <w:shd w:val="clear" w:color="auto" w:fill="FFFFFF"/>
          <w:lang w:val="en-US" w:eastAsia="zh-CN" w:bidi="ar"/>
        </w:rPr>
        <w:t>③④</w:t>
      </w:r>
    </w:p>
    <w:p w14:paraId="5551406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spacing w:val="7"/>
          <w:kern w:val="0"/>
          <w:sz w:val="21"/>
          <w:szCs w:val="21"/>
          <w:lang w:val="en-US" w:eastAsia="zh-CN" w:bidi="ar"/>
        </w:rPr>
      </w:pPr>
    </w:p>
    <w:p w14:paraId="65D287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spacing w:val="7"/>
          <w:kern w:val="0"/>
          <w:sz w:val="21"/>
          <w:szCs w:val="21"/>
          <w:lang w:val="en-US" w:eastAsia="zh-CN" w:bidi="ar"/>
        </w:rPr>
      </w:pPr>
    </w:p>
    <w:p w14:paraId="060EE5E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eastAsia" w:ascii="宋体" w:hAnsi="宋体" w:eastAsia="宋体" w:cs="宋体"/>
          <w:color w:val="000000"/>
          <w:spacing w:val="7"/>
          <w:kern w:val="0"/>
          <w:sz w:val="21"/>
          <w:szCs w:val="21"/>
          <w:lang w:val="en-US" w:eastAsia="zh-CN" w:bidi="ar"/>
        </w:rPr>
      </w:pPr>
      <w:r>
        <w:rPr>
          <w:rFonts w:hint="eastAsia" w:ascii="Times New Roman" w:hAnsi="Times New Roman" w:eastAsia="宋体" w:cs="Times New Roman"/>
          <w:color w:val="000000"/>
          <w:spacing w:val="7"/>
          <w:kern w:val="0"/>
          <w:sz w:val="21"/>
          <w:szCs w:val="21"/>
          <w:lang w:val="en-US" w:eastAsia="zh-CN" w:bidi="ar"/>
        </w:rPr>
        <w:t xml:space="preserve">12. </w:t>
      </w:r>
      <w:r>
        <w:rPr>
          <w:rFonts w:hint="default" w:ascii="Times New Roman" w:hAnsi="Times New Roman" w:eastAsia="宋体" w:cs="Times New Roman"/>
          <w:color w:val="000000"/>
          <w:spacing w:val="7"/>
          <w:kern w:val="0"/>
          <w:sz w:val="21"/>
          <w:szCs w:val="21"/>
          <w:lang w:val="en-US" w:eastAsia="zh-CN" w:bidi="ar"/>
        </w:rPr>
        <w:t>在法学理论上，犯罪行为是违反刑事法律规定的行为，具有严重社会危害性。据此可以断定，有的具有严重社会危害性的行为违反刑事法律规定。以上表述含有一个三段论推理，下列选项中属于其</w:t>
      </w:r>
      <w:r>
        <w:rPr>
          <w:rFonts w:hint="eastAsia" w:ascii="宋体" w:hAnsi="宋体" w:eastAsia="宋体" w:cs="宋体"/>
          <w:color w:val="000000"/>
          <w:spacing w:val="7"/>
          <w:kern w:val="0"/>
          <w:sz w:val="21"/>
          <w:szCs w:val="21"/>
          <w:lang w:val="en-US" w:eastAsia="zh-CN" w:bidi="ar"/>
        </w:rPr>
        <w:t>“大项\中项\小项”的正确组合是（   ）</w:t>
      </w:r>
    </w:p>
    <w:p w14:paraId="492FCC4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①违反刑事法律规定 </w:t>
      </w:r>
      <w:r>
        <w:rPr>
          <w:rFonts w:hint="eastAsia" w:ascii="Times New Roman" w:hAnsi="Times New Roman" w:eastAsia="宋体" w:cs="Times New Roman"/>
          <w:kern w:val="0"/>
          <w:sz w:val="21"/>
          <w:szCs w:val="21"/>
          <w:lang w:val="en-US" w:eastAsia="zh-CN" w:bidi="ar"/>
        </w:rPr>
        <w:t xml:space="preserve">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②犯罪行为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③具有严重社会危害性的行为</w:t>
      </w:r>
    </w:p>
    <w:p w14:paraId="36C6630B">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①②③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 xml:space="preserve">B．③①②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 xml:space="preserve">C．③②① </w:t>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eastAsia" w:ascii="Times New Roman" w:hAnsi="Times New Roman" w:eastAsia="宋体" w:cs="Times New Roman"/>
          <w:kern w:val="0"/>
          <w:sz w:val="21"/>
          <w:szCs w:val="21"/>
          <w:lang w:val="en-US" w:eastAsia="zh-CN" w:bidi="ar"/>
        </w:rPr>
        <w:tab/>
      </w:r>
      <w:r>
        <w:rPr>
          <w:rFonts w:hint="default" w:ascii="Times New Roman" w:hAnsi="Times New Roman" w:eastAsia="宋体" w:cs="Times New Roman"/>
          <w:kern w:val="0"/>
          <w:sz w:val="21"/>
          <w:szCs w:val="21"/>
          <w:lang w:val="en-US" w:eastAsia="zh-CN" w:bidi="ar"/>
        </w:rPr>
        <w:t>D．②③①</w:t>
      </w:r>
    </w:p>
    <w:p w14:paraId="0A4B0A90">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spacing w:val="7"/>
          <w:kern w:val="0"/>
          <w:sz w:val="21"/>
          <w:szCs w:val="21"/>
          <w:shd w:val="clear" w:color="auto" w:fill="FFFFFF"/>
          <w:lang w:val="en-US" w:eastAsia="zh-CN" w:bidi="ar"/>
        </w:rPr>
      </w:pPr>
      <w:r>
        <w:rPr>
          <w:rFonts w:hint="default" w:ascii="Times New Roman" w:hAnsi="Times New Roman" w:eastAsia="宋体" w:cs="Times New Roman"/>
          <w:color w:val="333333"/>
          <w:spacing w:val="7"/>
          <w:kern w:val="0"/>
          <w:sz w:val="21"/>
          <w:szCs w:val="21"/>
          <w:shd w:val="clear" w:color="auto" w:fill="FFFFFF"/>
          <w:lang w:val="en-US" w:eastAsia="zh-CN" w:bidi="ar"/>
        </w:rPr>
        <w:t>高一学生小李面临选科，已经确定要选历史，剩下两个学科不知如何选择。老师和家长结合小李的学习情况和兴趣爱好，都给出了建议。老师建议，如果不选地理就不要选生物。妈妈建议，如果不选生物就要选地理。爸爸建议，要么选生物，要么选地理。下列能同时满足老师和两位家长建议的选项是（    ）</w:t>
      </w:r>
    </w:p>
    <w:p w14:paraId="13C1130A">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 xml:space="preserve">既选生物又选地理 </w:t>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default" w:ascii="Times New Roman" w:hAnsi="Times New Roman" w:eastAsia="宋体" w:cs="Times New Roman"/>
          <w:kern w:val="0"/>
          <w:sz w:val="21"/>
          <w:szCs w:val="21"/>
          <w:lang w:val="en-US" w:eastAsia="zh-CN" w:bidi="ar"/>
        </w:rPr>
        <w:t>B．</w:t>
      </w:r>
      <w:r>
        <w:rPr>
          <w:rFonts w:hint="default" w:ascii="Times New Roman" w:hAnsi="Times New Roman" w:eastAsia="宋体" w:cs="Times New Roman"/>
          <w:color w:val="333333"/>
          <w:kern w:val="0"/>
          <w:sz w:val="21"/>
          <w:szCs w:val="21"/>
          <w:shd w:val="clear" w:color="auto" w:fill="FFFFFF"/>
          <w:lang w:val="en-US" w:eastAsia="zh-CN" w:bidi="ar"/>
        </w:rPr>
        <w:t>选地理不选生物</w:t>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default" w:ascii="Times New Roman" w:hAnsi="Times New Roman" w:eastAsia="宋体" w:cs="Times New Roman"/>
          <w:kern w:val="0"/>
          <w:sz w:val="21"/>
          <w:szCs w:val="21"/>
          <w:lang w:val="en-US" w:eastAsia="zh-CN" w:bidi="ar"/>
        </w:rPr>
        <w:t>C．</w:t>
      </w:r>
      <w:r>
        <w:rPr>
          <w:rFonts w:hint="default" w:ascii="Times New Roman" w:hAnsi="Times New Roman" w:eastAsia="宋体" w:cs="Times New Roman"/>
          <w:color w:val="333333"/>
          <w:kern w:val="0"/>
          <w:sz w:val="21"/>
          <w:szCs w:val="21"/>
          <w:shd w:val="clear" w:color="auto" w:fill="FFFFFF"/>
          <w:lang w:val="en-US" w:eastAsia="zh-CN" w:bidi="ar"/>
        </w:rPr>
        <w:t xml:space="preserve">选生物不选地理 </w:t>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default" w:ascii="Times New Roman" w:hAnsi="Times New Roman" w:eastAsia="宋体" w:cs="Times New Roman"/>
          <w:kern w:val="0"/>
          <w:sz w:val="21"/>
          <w:szCs w:val="21"/>
          <w:lang w:val="en-US" w:eastAsia="zh-CN" w:bidi="ar"/>
        </w:rPr>
        <w:t>D．</w:t>
      </w:r>
      <w:r>
        <w:rPr>
          <w:rFonts w:hint="default" w:ascii="Times New Roman" w:hAnsi="Times New Roman" w:eastAsia="宋体" w:cs="Times New Roman"/>
          <w:color w:val="333333"/>
          <w:kern w:val="0"/>
          <w:sz w:val="21"/>
          <w:szCs w:val="21"/>
          <w:shd w:val="clear" w:color="auto" w:fill="FFFFFF"/>
          <w:lang w:val="en-US" w:eastAsia="zh-CN" w:bidi="ar"/>
        </w:rPr>
        <w:t>既不选地理也不选生物</w:t>
      </w:r>
    </w:p>
    <w:p w14:paraId="0C45A28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cs="Times New Roman"/>
          <w:color w:val="333333"/>
          <w:spacing w:val="7"/>
          <w:kern w:val="0"/>
          <w:sz w:val="21"/>
          <w:szCs w:val="21"/>
          <w:shd w:val="clear" w:color="auto" w:fill="FFFFFF"/>
          <w:lang w:val="en-US" w:eastAsia="zh-CN" w:bidi="ar"/>
        </w:rPr>
      </w:pPr>
      <w:r>
        <w:rPr>
          <w:rFonts w:hint="default" w:ascii="Times New Roman" w:hAnsi="Times New Roman" w:eastAsia="宋体" w:cs="Times New Roman"/>
          <w:spacing w:val="7"/>
          <w:kern w:val="0"/>
          <w:sz w:val="21"/>
          <w:szCs w:val="21"/>
          <w:lang w:val="en-US" w:eastAsia="zh-CN" w:bidi="ar"/>
        </w:rPr>
        <w:t>14．</w:t>
      </w:r>
      <w:r>
        <w:rPr>
          <w:rFonts w:hint="default" w:ascii="Times New Roman" w:hAnsi="Times New Roman" w:eastAsia="宋体" w:cs="Times New Roman"/>
          <w:color w:val="333333"/>
          <w:spacing w:val="7"/>
          <w:kern w:val="0"/>
          <w:sz w:val="21"/>
          <w:szCs w:val="21"/>
          <w:shd w:val="clear" w:color="auto" w:fill="FFFFFF"/>
          <w:lang w:val="en-US" w:eastAsia="zh-CN" w:bidi="ar"/>
        </w:rPr>
        <w:t>安徽武王墩墓出土的文物中，漆木器尤为引人注目。考古人员首次使用了</w:t>
      </w:r>
      <w:r>
        <w:rPr>
          <w:rFonts w:hint="eastAsia" w:ascii="Times New Roman" w:hAnsi="Times New Roman" w:eastAsia="宋体" w:cs="Times New Roman"/>
          <w:color w:val="333333"/>
          <w:spacing w:val="7"/>
          <w:kern w:val="0"/>
          <w:sz w:val="21"/>
          <w:szCs w:val="21"/>
          <w:shd w:val="clear" w:color="auto" w:fill="FFFFFF"/>
          <w:lang w:val="en-US" w:eastAsia="zh-CN" w:bidi="ar"/>
        </w:rPr>
        <w:t>“</w:t>
      </w:r>
      <w:r>
        <w:rPr>
          <w:rFonts w:hint="default" w:ascii="Times New Roman" w:hAnsi="Times New Roman" w:eastAsia="宋体" w:cs="Times New Roman"/>
          <w:color w:val="333333"/>
          <w:spacing w:val="7"/>
          <w:kern w:val="0"/>
          <w:sz w:val="21"/>
          <w:szCs w:val="21"/>
          <w:shd w:val="clear" w:color="auto" w:fill="FFFFFF"/>
          <w:lang w:val="en-US" w:eastAsia="zh-CN" w:bidi="ar"/>
        </w:rPr>
        <w:t>曲面微区X射线荧光光谱仪</w:t>
      </w:r>
      <w:r>
        <w:rPr>
          <w:rFonts w:hint="eastAsia" w:ascii="Times New Roman" w:hAnsi="Times New Roman" w:eastAsia="宋体" w:cs="Times New Roman"/>
          <w:color w:val="333333"/>
          <w:spacing w:val="7"/>
          <w:kern w:val="0"/>
          <w:sz w:val="21"/>
          <w:szCs w:val="21"/>
          <w:shd w:val="clear" w:color="auto" w:fill="FFFFFF"/>
          <w:lang w:val="en-US" w:eastAsia="zh-CN" w:bidi="ar"/>
        </w:rPr>
        <w:t>”</w:t>
      </w:r>
      <w:r>
        <w:rPr>
          <w:rFonts w:hint="default" w:ascii="Times New Roman" w:hAnsi="Times New Roman" w:eastAsia="宋体" w:cs="Times New Roman"/>
          <w:color w:val="333333"/>
          <w:spacing w:val="7"/>
          <w:kern w:val="0"/>
          <w:sz w:val="21"/>
          <w:szCs w:val="21"/>
          <w:shd w:val="clear" w:color="auto" w:fill="FFFFFF"/>
          <w:lang w:val="en-US" w:eastAsia="zh-CN" w:bidi="ar"/>
        </w:rPr>
        <w:t>，发现漆器颜料中含有的铜、钙、砷等元素，超出了以往的研究认知，依据这些隐藏的信息，大大方便了文物后续深度清理和文化研究。这表明</w:t>
      </w:r>
      <w:r>
        <w:rPr>
          <w:rFonts w:hint="eastAsia" w:ascii="Times New Roman" w:hAnsi="Times New Roman" w:eastAsia="宋体" w:cs="Times New Roman"/>
          <w:color w:val="333333"/>
          <w:spacing w:val="7"/>
          <w:kern w:val="0"/>
          <w:sz w:val="21"/>
          <w:szCs w:val="21"/>
          <w:shd w:val="clear" w:color="auto" w:fill="FFFFFF"/>
          <w:lang w:val="en-US" w:eastAsia="zh-CN" w:bidi="ar"/>
        </w:rPr>
        <w:t xml:space="preserve">（    ）   </w:t>
      </w:r>
    </w:p>
    <w:p w14:paraId="2D0019D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①光谱仪延伸了人的认识器官，深化了对漆器的认识</w:t>
      </w:r>
    </w:p>
    <w:p w14:paraId="223918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②新认识工具的创造和使用改变了漆器颜料的基本属性</w:t>
      </w:r>
    </w:p>
    <w:p w14:paraId="15A8DE3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③准确把握文物的基本属性是科学开展文物研究的前提</w:t>
      </w:r>
    </w:p>
    <w:p w14:paraId="6092A4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④对漆器颜料的新认识是对以往研究认知的全面否定</w:t>
      </w:r>
    </w:p>
    <w:p w14:paraId="5993E0DA">
      <w:pPr>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 xml:space="preserve">①③ </w:t>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default" w:ascii="Times New Roman" w:hAnsi="Times New Roman" w:eastAsia="宋体" w:cs="Times New Roman"/>
          <w:kern w:val="0"/>
          <w:sz w:val="21"/>
          <w:szCs w:val="21"/>
          <w:lang w:val="en-US" w:eastAsia="zh-CN" w:bidi="ar"/>
        </w:rPr>
        <w:t>B．</w:t>
      </w:r>
      <w:r>
        <w:rPr>
          <w:rFonts w:hint="default" w:ascii="Times New Roman" w:hAnsi="Times New Roman" w:eastAsia="宋体" w:cs="Times New Roman"/>
          <w:color w:val="333333"/>
          <w:kern w:val="0"/>
          <w:sz w:val="21"/>
          <w:szCs w:val="21"/>
          <w:shd w:val="clear" w:color="auto" w:fill="FFFFFF"/>
          <w:lang w:val="en-US" w:eastAsia="zh-CN" w:bidi="ar"/>
        </w:rPr>
        <w:t xml:space="preserve">①④ </w:t>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default" w:ascii="Times New Roman" w:hAnsi="Times New Roman" w:eastAsia="宋体" w:cs="Times New Roman"/>
          <w:kern w:val="0"/>
          <w:sz w:val="21"/>
          <w:szCs w:val="21"/>
          <w:lang w:val="en-US" w:eastAsia="zh-CN" w:bidi="ar"/>
        </w:rPr>
        <w:t>C．</w:t>
      </w:r>
      <w:r>
        <w:rPr>
          <w:rFonts w:hint="default" w:ascii="Times New Roman" w:hAnsi="Times New Roman" w:eastAsia="宋体" w:cs="Times New Roman"/>
          <w:color w:val="333333"/>
          <w:kern w:val="0"/>
          <w:sz w:val="21"/>
          <w:szCs w:val="21"/>
          <w:shd w:val="clear" w:color="auto" w:fill="FFFFFF"/>
          <w:lang w:val="en-US" w:eastAsia="zh-CN" w:bidi="ar"/>
        </w:rPr>
        <w:t xml:space="preserve">②③ </w:t>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default" w:ascii="Times New Roman" w:hAnsi="Times New Roman" w:eastAsia="宋体" w:cs="Times New Roman"/>
          <w:kern w:val="0"/>
          <w:sz w:val="21"/>
          <w:szCs w:val="21"/>
          <w:lang w:val="en-US" w:eastAsia="zh-CN" w:bidi="ar"/>
        </w:rPr>
        <w:t>D．</w:t>
      </w:r>
      <w:r>
        <w:rPr>
          <w:rFonts w:hint="default" w:ascii="Times New Roman" w:hAnsi="Times New Roman" w:eastAsia="宋体" w:cs="Times New Roman"/>
          <w:color w:val="333333"/>
          <w:kern w:val="0"/>
          <w:sz w:val="21"/>
          <w:szCs w:val="21"/>
          <w:shd w:val="clear" w:color="auto" w:fill="FFFFFF"/>
          <w:lang w:val="en-US" w:eastAsia="zh-CN" w:bidi="ar"/>
        </w:rPr>
        <w:t>②④</w:t>
      </w:r>
    </w:p>
    <w:p w14:paraId="3EC8695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7"/>
          <w:kern w:val="0"/>
          <w:sz w:val="21"/>
          <w:szCs w:val="21"/>
          <w:lang w:val="en-US" w:eastAsia="zh-CN" w:bidi="ar"/>
        </w:rPr>
        <w:t>15．下图漫画（图片来自网络）</w:t>
      </w:r>
      <w:r>
        <w:rPr>
          <w:rFonts w:hint="eastAsia" w:ascii="宋体" w:hAnsi="宋体" w:eastAsia="宋体" w:cs="宋体"/>
          <w:spacing w:val="7"/>
          <w:kern w:val="0"/>
          <w:sz w:val="21"/>
          <w:szCs w:val="21"/>
          <w:lang w:val="en-US" w:eastAsia="zh-CN" w:bidi="ar"/>
        </w:rPr>
        <w:t>“等一朵儿花开，需要很多耐心和微笑”</w:t>
      </w:r>
      <w:r>
        <w:rPr>
          <w:rFonts w:hint="default" w:ascii="Times New Roman" w:hAnsi="Times New Roman" w:eastAsia="宋体" w:cs="Times New Roman"/>
          <w:spacing w:val="7"/>
          <w:kern w:val="0"/>
          <w:sz w:val="21"/>
          <w:szCs w:val="21"/>
          <w:lang w:val="en-US" w:eastAsia="zh-CN" w:bidi="ar"/>
        </w:rPr>
        <w:t>富有深刻的教育意义，反映了漫画中的人</w:t>
      </w:r>
    </w:p>
    <w:p w14:paraId="320A4E5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2486025" cy="2085975"/>
            <wp:effectExtent l="0" t="0" r="317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2486025" cy="2085975"/>
                    </a:xfrm>
                    <a:prstGeom prst="rect">
                      <a:avLst/>
                    </a:prstGeom>
                    <a:noFill/>
                    <a:ln w="9525">
                      <a:noFill/>
                    </a:ln>
                  </pic:spPr>
                </pic:pic>
              </a:graphicData>
            </a:graphic>
          </wp:inline>
        </w:drawing>
      </w:r>
    </w:p>
    <w:p w14:paraId="5B479C77">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spacing w:val="7"/>
          <w:kern w:val="0"/>
          <w:sz w:val="21"/>
          <w:szCs w:val="21"/>
          <w:shd w:val="clear" w:color="auto" w:fill="FFFFFF"/>
          <w:lang w:val="en-US" w:eastAsia="zh-CN" w:bidi="ar"/>
        </w:rPr>
      </w:pPr>
      <w:r>
        <w:rPr>
          <w:rFonts w:hint="default" w:ascii="Times New Roman" w:hAnsi="Times New Roman" w:eastAsia="宋体" w:cs="Times New Roman"/>
          <w:color w:val="333333"/>
          <w:spacing w:val="7"/>
          <w:kern w:val="0"/>
          <w:sz w:val="21"/>
          <w:szCs w:val="21"/>
          <w:shd w:val="clear" w:color="auto" w:fill="FFFFFF"/>
          <w:lang w:val="en-US" w:eastAsia="zh-CN" w:bidi="ar"/>
        </w:rPr>
        <w:t>①遵循了量变必然引起质变的发展规律</w:t>
      </w:r>
    </w:p>
    <w:p w14:paraId="75ADCE69">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spacing w:val="7"/>
          <w:kern w:val="0"/>
          <w:sz w:val="21"/>
          <w:szCs w:val="21"/>
          <w:shd w:val="clear" w:color="auto" w:fill="FFFFFF"/>
          <w:lang w:val="en-US" w:eastAsia="zh-CN" w:bidi="ar"/>
        </w:rPr>
      </w:pPr>
      <w:r>
        <w:rPr>
          <w:rFonts w:hint="default" w:ascii="Times New Roman" w:hAnsi="Times New Roman" w:eastAsia="宋体" w:cs="Times New Roman"/>
          <w:color w:val="333333"/>
          <w:spacing w:val="7"/>
          <w:kern w:val="0"/>
          <w:sz w:val="21"/>
          <w:szCs w:val="21"/>
          <w:shd w:val="clear" w:color="auto" w:fill="FFFFFF"/>
          <w:lang w:val="en-US" w:eastAsia="zh-CN" w:bidi="ar"/>
        </w:rPr>
        <w:t>②懂得质与事物存在是直接同一的道理</w:t>
      </w:r>
    </w:p>
    <w:p w14:paraId="73777E8B">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③认识到产生新质的量变过程是曲折的</w:t>
      </w:r>
    </w:p>
    <w:p w14:paraId="74954BEA">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④看到了矛盾的同一性是事物发展的源泉</w:t>
      </w:r>
    </w:p>
    <w:p w14:paraId="6B4F179C">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spacing w:val="7"/>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 xml:space="preserve">①③ </w:t>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default" w:ascii="Times New Roman" w:hAnsi="Times New Roman" w:eastAsia="宋体" w:cs="Times New Roman"/>
          <w:kern w:val="0"/>
          <w:sz w:val="21"/>
          <w:szCs w:val="21"/>
          <w:lang w:val="en-US" w:eastAsia="zh-CN" w:bidi="ar"/>
        </w:rPr>
        <w:t>B．</w:t>
      </w:r>
      <w:r>
        <w:rPr>
          <w:rFonts w:hint="default" w:ascii="Times New Roman" w:hAnsi="Times New Roman" w:eastAsia="宋体" w:cs="Times New Roman"/>
          <w:color w:val="333333"/>
          <w:kern w:val="0"/>
          <w:sz w:val="21"/>
          <w:szCs w:val="21"/>
          <w:shd w:val="clear" w:color="auto" w:fill="FFFFFF"/>
          <w:lang w:val="en-US" w:eastAsia="zh-CN" w:bidi="ar"/>
        </w:rPr>
        <w:t>①④</w:t>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default" w:ascii="Times New Roman" w:hAnsi="Times New Roman" w:eastAsia="宋体" w:cs="Times New Roman"/>
          <w:spacing w:val="7"/>
          <w:kern w:val="0"/>
          <w:sz w:val="21"/>
          <w:szCs w:val="21"/>
          <w:lang w:val="en-US" w:eastAsia="zh-CN" w:bidi="ar"/>
        </w:rPr>
        <w:t>C．</w:t>
      </w:r>
      <w:r>
        <w:rPr>
          <w:rFonts w:hint="default" w:ascii="Times New Roman" w:hAnsi="Times New Roman" w:eastAsia="宋体" w:cs="Times New Roman"/>
          <w:color w:val="333333"/>
          <w:spacing w:val="7"/>
          <w:kern w:val="0"/>
          <w:sz w:val="21"/>
          <w:szCs w:val="21"/>
          <w:shd w:val="clear" w:color="auto" w:fill="FFFFFF"/>
          <w:lang w:val="en-US" w:eastAsia="zh-CN" w:bidi="ar"/>
        </w:rPr>
        <w:t xml:space="preserve">②③ </w:t>
      </w:r>
      <w:r>
        <w:rPr>
          <w:rFonts w:hint="eastAsia" w:ascii="Times New Roman" w:hAnsi="Times New Roman" w:eastAsia="宋体" w:cs="Times New Roman"/>
          <w:color w:val="333333"/>
          <w:spacing w:val="7"/>
          <w:kern w:val="0"/>
          <w:sz w:val="21"/>
          <w:szCs w:val="21"/>
          <w:shd w:val="clear" w:color="auto" w:fill="FFFFFF"/>
          <w:lang w:val="en-US" w:eastAsia="zh-CN" w:bidi="ar"/>
        </w:rPr>
        <w:tab/>
      </w:r>
      <w:r>
        <w:rPr>
          <w:rFonts w:hint="eastAsia" w:ascii="Times New Roman" w:hAnsi="Times New Roman" w:eastAsia="宋体" w:cs="Times New Roman"/>
          <w:color w:val="333333"/>
          <w:spacing w:val="7"/>
          <w:kern w:val="0"/>
          <w:sz w:val="21"/>
          <w:szCs w:val="21"/>
          <w:shd w:val="clear" w:color="auto" w:fill="FFFFFF"/>
          <w:lang w:val="en-US" w:eastAsia="zh-CN" w:bidi="ar"/>
        </w:rPr>
        <w:tab/>
      </w:r>
      <w:r>
        <w:rPr>
          <w:rFonts w:hint="eastAsia" w:ascii="Times New Roman" w:hAnsi="Times New Roman" w:eastAsia="宋体" w:cs="Times New Roman"/>
          <w:color w:val="333333"/>
          <w:spacing w:val="7"/>
          <w:kern w:val="0"/>
          <w:sz w:val="21"/>
          <w:szCs w:val="21"/>
          <w:shd w:val="clear" w:color="auto" w:fill="FFFFFF"/>
          <w:lang w:val="en-US" w:eastAsia="zh-CN" w:bidi="ar"/>
        </w:rPr>
        <w:tab/>
      </w:r>
      <w:r>
        <w:rPr>
          <w:rFonts w:hint="eastAsia" w:ascii="Times New Roman" w:hAnsi="Times New Roman" w:eastAsia="宋体" w:cs="Times New Roman"/>
          <w:color w:val="333333"/>
          <w:spacing w:val="7"/>
          <w:kern w:val="0"/>
          <w:sz w:val="21"/>
          <w:szCs w:val="21"/>
          <w:shd w:val="clear" w:color="auto" w:fill="FFFFFF"/>
          <w:lang w:val="en-US" w:eastAsia="zh-CN" w:bidi="ar"/>
        </w:rPr>
        <w:tab/>
      </w:r>
      <w:r>
        <w:rPr>
          <w:rFonts w:hint="default" w:ascii="Times New Roman" w:hAnsi="Times New Roman" w:eastAsia="宋体" w:cs="Times New Roman"/>
          <w:spacing w:val="7"/>
          <w:kern w:val="0"/>
          <w:sz w:val="21"/>
          <w:szCs w:val="21"/>
          <w:lang w:val="en-US" w:eastAsia="zh-CN" w:bidi="ar"/>
        </w:rPr>
        <w:t>D．</w:t>
      </w:r>
      <w:r>
        <w:rPr>
          <w:rFonts w:hint="default" w:ascii="Times New Roman" w:hAnsi="Times New Roman" w:eastAsia="宋体" w:cs="Times New Roman"/>
          <w:color w:val="333333"/>
          <w:spacing w:val="7"/>
          <w:kern w:val="0"/>
          <w:sz w:val="21"/>
          <w:szCs w:val="21"/>
          <w:shd w:val="clear" w:color="auto" w:fill="FFFFFF"/>
          <w:lang w:val="en-US" w:eastAsia="zh-CN" w:bidi="ar"/>
        </w:rPr>
        <w:t>②④</w:t>
      </w:r>
    </w:p>
    <w:p w14:paraId="64E63156">
      <w:pPr>
        <w:keepNext w:val="0"/>
        <w:keepLines w:val="0"/>
        <w:pageBreakBefore w:val="0"/>
        <w:widowControl/>
        <w:numPr>
          <w:ilvl w:val="0"/>
          <w:numId w:val="16"/>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spacing w:val="7"/>
          <w:kern w:val="0"/>
          <w:sz w:val="21"/>
          <w:szCs w:val="21"/>
          <w:shd w:val="clear" w:color="auto" w:fill="FFFFFF"/>
          <w:lang w:val="en-US" w:eastAsia="zh-CN" w:bidi="ar"/>
        </w:rPr>
      </w:pPr>
      <w:r>
        <w:rPr>
          <w:rFonts w:hint="default" w:ascii="Times New Roman" w:hAnsi="Times New Roman" w:eastAsia="宋体" w:cs="Times New Roman"/>
          <w:color w:val="333333"/>
          <w:spacing w:val="7"/>
          <w:kern w:val="0"/>
          <w:sz w:val="21"/>
          <w:szCs w:val="21"/>
          <w:shd w:val="clear" w:color="auto" w:fill="FFFFFF"/>
          <w:lang w:val="en-US" w:eastAsia="zh-CN" w:bidi="ar"/>
        </w:rPr>
        <w:t>中秋佳节观月、赏桂、吃月饼，凝结着中国人浓厚的记忆与情感，承载着人们对团圆美满的追求。2024年中秋，多地寻求将传统文化里沉淀的人文情怀进行创造性表达，使人们从丰富多彩的中秋活动中体会到了传统文化的赓续，更好感受传统节日的文化内涵。对此，以下说法正确的是</w:t>
      </w:r>
    </w:p>
    <w:p w14:paraId="7028ABA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①中秋月、团圆饼是中华优秀传统文化的重要内容</w:t>
      </w:r>
    </w:p>
    <w:p w14:paraId="7BFB80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②丰富多彩的中秋活动增强了人们对民族文化的认同</w:t>
      </w:r>
    </w:p>
    <w:p w14:paraId="4E5607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③对传统文化的创造性表达增强了中华文化的包容性</w:t>
      </w:r>
    </w:p>
    <w:p w14:paraId="78674E5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④中秋节将具有共同文化根脉的人们牢牢凝聚在一起</w:t>
      </w:r>
    </w:p>
    <w:p w14:paraId="63C06B4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kern w:val="0"/>
          <w:sz w:val="21"/>
          <w:szCs w:val="21"/>
          <w:lang w:val="en-US" w:eastAsia="zh-CN" w:bidi="ar"/>
        </w:rPr>
        <w:t>A．</w:t>
      </w:r>
      <w:r>
        <w:rPr>
          <w:rFonts w:hint="default" w:ascii="Times New Roman" w:hAnsi="Times New Roman" w:eastAsia="宋体" w:cs="Times New Roman"/>
          <w:color w:val="333333"/>
          <w:kern w:val="0"/>
          <w:sz w:val="21"/>
          <w:szCs w:val="21"/>
          <w:shd w:val="clear" w:color="auto" w:fill="FFFFFF"/>
          <w:lang w:val="en-US" w:eastAsia="zh-CN" w:bidi="ar"/>
        </w:rPr>
        <w:t xml:space="preserve">①② </w:t>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default" w:ascii="Times New Roman" w:hAnsi="Times New Roman" w:eastAsia="宋体" w:cs="Times New Roman"/>
          <w:kern w:val="0"/>
          <w:sz w:val="21"/>
          <w:szCs w:val="21"/>
          <w:lang w:val="en-US" w:eastAsia="zh-CN" w:bidi="ar"/>
        </w:rPr>
        <w:t>B．</w:t>
      </w:r>
      <w:r>
        <w:rPr>
          <w:rFonts w:hint="default" w:ascii="Times New Roman" w:hAnsi="Times New Roman" w:eastAsia="宋体" w:cs="Times New Roman"/>
          <w:color w:val="333333"/>
          <w:kern w:val="0"/>
          <w:sz w:val="21"/>
          <w:szCs w:val="21"/>
          <w:shd w:val="clear" w:color="auto" w:fill="FFFFFF"/>
          <w:lang w:val="en-US" w:eastAsia="zh-CN" w:bidi="ar"/>
        </w:rPr>
        <w:t xml:space="preserve">①③ </w:t>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default" w:ascii="Times New Roman" w:hAnsi="Times New Roman" w:eastAsia="宋体" w:cs="Times New Roman"/>
          <w:kern w:val="0"/>
          <w:sz w:val="21"/>
          <w:szCs w:val="21"/>
          <w:lang w:val="en-US" w:eastAsia="zh-CN" w:bidi="ar"/>
        </w:rPr>
        <w:t>C．</w:t>
      </w:r>
      <w:r>
        <w:rPr>
          <w:rFonts w:hint="default" w:ascii="Times New Roman" w:hAnsi="Times New Roman" w:eastAsia="宋体" w:cs="Times New Roman"/>
          <w:color w:val="333333"/>
          <w:kern w:val="0"/>
          <w:sz w:val="21"/>
          <w:szCs w:val="21"/>
          <w:shd w:val="clear" w:color="auto" w:fill="FFFFFF"/>
          <w:lang w:val="en-US" w:eastAsia="zh-CN" w:bidi="ar"/>
        </w:rPr>
        <w:t xml:space="preserve">②④ </w:t>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eastAsia" w:ascii="Times New Roman" w:hAnsi="Times New Roman" w:eastAsia="宋体" w:cs="Times New Roman"/>
          <w:color w:val="333333"/>
          <w:kern w:val="0"/>
          <w:sz w:val="21"/>
          <w:szCs w:val="21"/>
          <w:shd w:val="clear" w:color="auto" w:fill="FFFFFF"/>
          <w:lang w:val="en-US" w:eastAsia="zh-CN" w:bidi="ar"/>
        </w:rPr>
        <w:tab/>
      </w:r>
      <w:r>
        <w:rPr>
          <w:rFonts w:hint="default" w:ascii="Times New Roman" w:hAnsi="Times New Roman" w:eastAsia="宋体" w:cs="Times New Roman"/>
          <w:kern w:val="0"/>
          <w:sz w:val="21"/>
          <w:szCs w:val="21"/>
          <w:lang w:val="en-US" w:eastAsia="zh-CN" w:bidi="ar"/>
        </w:rPr>
        <w:t>D．</w:t>
      </w:r>
      <w:r>
        <w:rPr>
          <w:rFonts w:hint="default" w:ascii="Times New Roman" w:hAnsi="Times New Roman" w:eastAsia="宋体" w:cs="Times New Roman"/>
          <w:color w:val="333333"/>
          <w:kern w:val="0"/>
          <w:sz w:val="21"/>
          <w:szCs w:val="21"/>
          <w:shd w:val="clear" w:color="auto" w:fill="FFFFFF"/>
          <w:lang w:val="en-US" w:eastAsia="zh-CN" w:bidi="ar"/>
        </w:rPr>
        <w:t>③④</w:t>
      </w:r>
    </w:p>
    <w:p w14:paraId="6F0BF52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4C430E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227AAB5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3BCB189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24C1CEF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653117A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42894B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二、非选择题：本题共4小题，共52分。</w:t>
      </w:r>
    </w:p>
    <w:p w14:paraId="18A765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17．阅读材料，完成下列要求。（10分）</w:t>
      </w:r>
    </w:p>
    <w:p w14:paraId="03A3612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kern w:val="0"/>
          <w:sz w:val="21"/>
          <w:szCs w:val="21"/>
          <w:lang w:val="en-US" w:eastAsia="zh-CN" w:bidi="ar"/>
        </w:rPr>
      </w:pPr>
      <w:r>
        <w:rPr>
          <w:rFonts w:hint="default" w:ascii="Times New Roman" w:hAnsi="Times New Roman" w:eastAsia="宋体" w:cs="Times New Roman"/>
          <w:kern w:val="0"/>
          <w:sz w:val="21"/>
          <w:szCs w:val="21"/>
          <w:lang w:val="en-US" w:eastAsia="zh-CN" w:bidi="ar"/>
        </w:rPr>
        <w:t>随着我国人口老龄化问题的加剧，康养产业逐渐成为社会关注的新风口。康养产业涉及健康、养老、医疗、养生、文化、体育、旅游等多个细分产业，产业之间关联度较高，发展前景广阔。据推测，2030年我国康养产业市场消费需求将达到20万亿元左右，而当前每年为康养产业提供的产品却仅仅在5000亿-7000亿元左右。2024年国务院政府工作报告提出</w:t>
      </w:r>
      <w:r>
        <w:rPr>
          <w:rFonts w:hint="eastAsia" w:ascii="宋体" w:hAnsi="宋体" w:eastAsia="宋体" w:cs="宋体"/>
          <w:kern w:val="0"/>
          <w:sz w:val="21"/>
          <w:szCs w:val="21"/>
          <w:lang w:val="en-US" w:eastAsia="zh-CN" w:bidi="ar"/>
        </w:rPr>
        <w:t>：“加强老年用品和服务供给，大力发展银发经济。”在政策扶持和市场需求的共同推动下，康养产业呈现出快速发展态势。同时，我国康养产业发展也存在诸多短板，如支持健康养老产业发展的政策尚未形成合力，缺乏核心康养技术，智慧健康养老服务商业模式还未形成，其自主盈利和可持续运营能力仍然不足。有人认为，破解康养产业发展困局的关键是政府加大政策扶持力度。</w:t>
      </w:r>
    </w:p>
    <w:p w14:paraId="342035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结合材料，运用“我国的社会主义市场经济体制”的知识，对该观点进行评析。</w:t>
      </w:r>
    </w:p>
    <w:p w14:paraId="59D56F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kern w:val="0"/>
          <w:sz w:val="21"/>
          <w:szCs w:val="21"/>
          <w:lang w:val="en-US" w:eastAsia="zh-CN" w:bidi="ar"/>
        </w:rPr>
      </w:pPr>
    </w:p>
    <w:p w14:paraId="4651800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kern w:val="0"/>
          <w:sz w:val="21"/>
          <w:szCs w:val="21"/>
          <w:lang w:val="en-US" w:eastAsia="zh-CN" w:bidi="ar"/>
        </w:rPr>
      </w:pPr>
    </w:p>
    <w:p w14:paraId="7B4EA2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kern w:val="0"/>
          <w:sz w:val="21"/>
          <w:szCs w:val="21"/>
          <w:lang w:val="en-US" w:eastAsia="zh-CN" w:bidi="ar"/>
        </w:rPr>
      </w:pPr>
    </w:p>
    <w:p w14:paraId="35AF185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kern w:val="0"/>
          <w:sz w:val="21"/>
          <w:szCs w:val="21"/>
          <w:lang w:val="en-US" w:eastAsia="zh-CN" w:bidi="ar"/>
        </w:rPr>
      </w:pPr>
    </w:p>
    <w:p w14:paraId="4551573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kern w:val="0"/>
          <w:sz w:val="21"/>
          <w:szCs w:val="21"/>
          <w:lang w:val="en-US" w:eastAsia="zh-CN" w:bidi="ar"/>
        </w:rPr>
      </w:pPr>
    </w:p>
    <w:p w14:paraId="75931CB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kern w:val="0"/>
          <w:sz w:val="21"/>
          <w:szCs w:val="21"/>
          <w:lang w:val="en-US" w:eastAsia="zh-CN" w:bidi="ar"/>
        </w:rPr>
      </w:pPr>
    </w:p>
    <w:p w14:paraId="66C15D0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kern w:val="0"/>
          <w:sz w:val="21"/>
          <w:szCs w:val="21"/>
          <w:lang w:val="en-US" w:eastAsia="zh-CN" w:bidi="ar"/>
        </w:rPr>
      </w:pPr>
    </w:p>
    <w:p w14:paraId="6B41C4E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kern w:val="0"/>
          <w:sz w:val="21"/>
          <w:szCs w:val="21"/>
          <w:lang w:val="en-US" w:eastAsia="zh-CN" w:bidi="ar"/>
        </w:rPr>
      </w:pPr>
    </w:p>
    <w:p w14:paraId="1855E8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kern w:val="0"/>
          <w:sz w:val="21"/>
          <w:szCs w:val="21"/>
          <w:lang w:val="en-US" w:eastAsia="zh-CN" w:bidi="ar"/>
        </w:rPr>
      </w:pPr>
    </w:p>
    <w:p w14:paraId="1C75DF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kern w:val="0"/>
          <w:sz w:val="21"/>
          <w:szCs w:val="21"/>
          <w:lang w:val="en-US" w:eastAsia="zh-CN" w:bidi="ar"/>
        </w:rPr>
      </w:pPr>
    </w:p>
    <w:p w14:paraId="374EBA5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kern w:val="0"/>
          <w:sz w:val="21"/>
          <w:szCs w:val="21"/>
          <w:lang w:val="en-US" w:eastAsia="zh-CN" w:bidi="ar"/>
        </w:rPr>
      </w:pPr>
    </w:p>
    <w:p w14:paraId="34259E2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kern w:val="0"/>
          <w:sz w:val="21"/>
          <w:szCs w:val="21"/>
          <w:lang w:val="en-US" w:eastAsia="zh-CN" w:bidi="ar"/>
        </w:rPr>
      </w:pPr>
    </w:p>
    <w:p w14:paraId="64B3EAC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kern w:val="0"/>
          <w:sz w:val="21"/>
          <w:szCs w:val="21"/>
          <w:lang w:val="en-US" w:eastAsia="zh-CN" w:bidi="ar"/>
        </w:rPr>
      </w:pPr>
    </w:p>
    <w:p w14:paraId="645D10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kern w:val="0"/>
          <w:sz w:val="21"/>
          <w:szCs w:val="21"/>
          <w:lang w:val="en-US" w:eastAsia="zh-CN" w:bidi="ar"/>
        </w:rPr>
      </w:pPr>
    </w:p>
    <w:p w14:paraId="2DC2BE6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br w:type="textWrapping"/>
      </w:r>
      <w:r>
        <w:rPr>
          <w:rFonts w:hint="default" w:ascii="Times New Roman" w:hAnsi="Times New Roman" w:eastAsia="宋体" w:cs="Times New Roman"/>
          <w:color w:val="333333"/>
          <w:kern w:val="0"/>
          <w:sz w:val="21"/>
          <w:szCs w:val="21"/>
          <w:shd w:val="clear" w:color="auto" w:fill="FFFFFF"/>
          <w:lang w:val="en-US" w:eastAsia="zh-CN" w:bidi="ar"/>
        </w:rPr>
        <w:t>18．阅读材料，完成下列要求。（6分）</w:t>
      </w:r>
    </w:p>
    <w:p w14:paraId="01A3A14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在科技飞速发展、全球数字贸易蓬勃兴起的当下，数据作为核心要素，其流通与价值释放离不开安全的坚实保障。2021年6月10日，十三届全国人大常委会第二十九次会议通过《中华人民共和国数据安全法》。针对数据跨境流动治理，我国一方面积极完善《数据出境安全评估办法》等国内立法，正式申请加入《全面与进步跨太平洋伙伴关系协定》《数字经济伙伴关系协定》，在确保数据安全的前提下推进数据有序流动；另一方面作为数字经济大国，以《全球数据安全倡议》为基础积极参与并推动跨境数据流动国际规则的制定，弥合数字鸿沟。2024年9月22日，联合国未来峰会正式</w:t>
      </w:r>
      <w:r>
        <w:rPr>
          <w:rFonts w:hint="eastAsia" w:ascii="宋体" w:hAnsi="宋体" w:eastAsia="宋体" w:cs="宋体"/>
          <w:color w:val="333333"/>
          <w:kern w:val="0"/>
          <w:sz w:val="21"/>
          <w:szCs w:val="21"/>
          <w:shd w:val="clear" w:color="auto" w:fill="FFFFFF"/>
          <w:lang w:val="en-US" w:eastAsia="zh-CN" w:bidi="ar"/>
        </w:rPr>
        <w:t>通过“全球数字契约”。契约</w:t>
      </w:r>
      <w:r>
        <w:rPr>
          <w:rFonts w:hint="default" w:ascii="Times New Roman" w:hAnsi="Times New Roman" w:eastAsia="宋体" w:cs="Times New Roman"/>
          <w:color w:val="333333"/>
          <w:kern w:val="0"/>
          <w:sz w:val="21"/>
          <w:szCs w:val="21"/>
          <w:shd w:val="clear" w:color="auto" w:fill="FFFFFF"/>
          <w:lang w:val="en-US" w:eastAsia="zh-CN" w:bidi="ar"/>
        </w:rPr>
        <w:t>强调发展优先、普惠包容、创新驱动、保护数字空间文化多样性，营造开放、公平、包容和非歧视数字发展环境。假如你是外交部发言人，请运用《当代国际政治与经济》知识，就</w:t>
      </w:r>
      <w:r>
        <w:rPr>
          <w:rFonts w:hint="eastAsia" w:ascii="宋体" w:hAnsi="宋体" w:eastAsia="宋体" w:cs="宋体"/>
          <w:color w:val="333333"/>
          <w:kern w:val="0"/>
          <w:sz w:val="21"/>
          <w:szCs w:val="21"/>
          <w:shd w:val="clear" w:color="auto" w:fill="FFFFFF"/>
          <w:lang w:val="en-US" w:eastAsia="zh-CN" w:bidi="ar"/>
        </w:rPr>
        <w:t>“全球数据治理”拟一份发</w:t>
      </w:r>
      <w:r>
        <w:rPr>
          <w:rFonts w:hint="default" w:ascii="Times New Roman" w:hAnsi="Times New Roman" w:eastAsia="宋体" w:cs="Times New Roman"/>
          <w:color w:val="333333"/>
          <w:kern w:val="0"/>
          <w:sz w:val="21"/>
          <w:szCs w:val="21"/>
          <w:shd w:val="clear" w:color="auto" w:fill="FFFFFF"/>
          <w:lang w:val="en-US" w:eastAsia="zh-CN" w:bidi="ar"/>
        </w:rPr>
        <w:t>言提纲，简要阐明中国立场。</w:t>
      </w:r>
    </w:p>
    <w:p w14:paraId="5B812F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要求：①主题突出；②观点明确，逻辑清晰；③学科术语使用规范，字数不超过200字。</w:t>
      </w:r>
    </w:p>
    <w:p w14:paraId="4F16FC2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4484DF7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370478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69009E9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7CC6C9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222965E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08ABE1C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1546084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25F17C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3D23B37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5201AC7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3FC837F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58778A1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725DE1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br w:type="textWrapping"/>
      </w:r>
      <w:r>
        <w:rPr>
          <w:rFonts w:hint="default" w:ascii="Times New Roman" w:hAnsi="Times New Roman" w:eastAsia="宋体" w:cs="Times New Roman"/>
          <w:color w:val="333333"/>
          <w:kern w:val="0"/>
          <w:sz w:val="21"/>
          <w:szCs w:val="21"/>
          <w:shd w:val="clear" w:color="auto" w:fill="FFFFFF"/>
          <w:lang w:val="en-US" w:eastAsia="zh-CN" w:bidi="ar"/>
        </w:rPr>
        <w:t>19．阅读材料，完成下列要求。（26分）</w:t>
      </w:r>
    </w:p>
    <w:p w14:paraId="6239137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hint="eastAsia" w:ascii="宋体" w:hAnsi="宋体" w:eastAsia="宋体" w:cs="宋体"/>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2024年3月以来，天水因一碗麻辣烫火爆全网，辐射带动甘肃省旅游市场提前两个月进入旺季，呈现出</w:t>
      </w:r>
      <w:r>
        <w:rPr>
          <w:rFonts w:hint="eastAsia" w:ascii="宋体" w:hAnsi="宋体" w:eastAsia="宋体" w:cs="宋体"/>
          <w:color w:val="333333"/>
          <w:kern w:val="0"/>
          <w:sz w:val="21"/>
          <w:szCs w:val="21"/>
          <w:shd w:val="clear" w:color="auto" w:fill="FFFFFF"/>
          <w:lang w:val="en-US" w:eastAsia="zh-CN" w:bidi="ar"/>
        </w:rPr>
        <w:t>“一业兴百业旺”的良好态势。针对天水麻辣烫的走红，天水市委提出努力实现“一碗麻辣烫推动天水大发展”的目标。为实现这一目标，天水各界各出“奇招”：天水市政府全心全意当好“服务员”,精心打造麻辣烫一条街，方便游客品尝美食；天水在线等当地媒体充分借鉴淄博烧烤、哈尔滨冰雪火爆的一些成功做法，分阶段、有步骤地推出一系列线下活动；出租车司机、交警、普通市民热情周到，细致接待外来游客；专业或业余团队到天水南站表演节目，迎送游客；相关企业给游客送上特色产品、景区门票……各大景区新业态、新场景、新模式层出不穷，一批优秀经典剧目的复演加快了驻场演艺、非遗展演、虚拟现实、实景再现等体验式、沉浸式、互动式文旅业态发展，生动展示了天水的风土人情和历史文化，满足了游客多元化、高品质旅游的体验需求。通过一系列动作，天水旅游“热”力十足，有效地将“流量”转化成“留量”，使“热度”转化成“温度”。</w:t>
      </w:r>
    </w:p>
    <w:p w14:paraId="09BC499D">
      <w:pPr>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结合材料，运用</w:t>
      </w:r>
      <w:r>
        <w:rPr>
          <w:rFonts w:hint="eastAsia" w:ascii="宋体" w:hAnsi="宋体" w:eastAsia="宋体" w:cs="宋体"/>
          <w:color w:val="333333"/>
          <w:kern w:val="0"/>
          <w:sz w:val="21"/>
          <w:szCs w:val="21"/>
          <w:shd w:val="clear" w:color="auto" w:fill="FFFFFF"/>
          <w:lang w:val="en-US" w:eastAsia="zh-CN" w:bidi="ar"/>
        </w:rPr>
        <w:t>“价值判断与价值选择”的知识，说明天水旅游是如何做到“热”力十足</w:t>
      </w:r>
      <w:r>
        <w:rPr>
          <w:rFonts w:hint="default" w:ascii="Times New Roman" w:hAnsi="Times New Roman" w:eastAsia="宋体" w:cs="Times New Roman"/>
          <w:color w:val="333333"/>
          <w:kern w:val="0"/>
          <w:sz w:val="21"/>
          <w:szCs w:val="21"/>
          <w:shd w:val="clear" w:color="auto" w:fill="FFFFFF"/>
          <w:lang w:val="en-US" w:eastAsia="zh-CN" w:bidi="ar"/>
        </w:rPr>
        <w:t>的。（9分）</w:t>
      </w:r>
    </w:p>
    <w:p w14:paraId="74AB447B">
      <w:pPr>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afterAutospacing="0"/>
        <w:ind w:left="0" w:leftChars="0" w:firstLine="0" w:firstLine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运用《逻辑与思维》知识并结合材料，分析天水实现旅游</w:t>
      </w:r>
      <w:r>
        <w:rPr>
          <w:rFonts w:hint="eastAsia" w:ascii="宋体" w:hAnsi="宋体" w:eastAsia="宋体" w:cs="宋体"/>
          <w:color w:val="333333"/>
          <w:kern w:val="0"/>
          <w:sz w:val="21"/>
          <w:szCs w:val="21"/>
          <w:shd w:val="clear" w:color="auto" w:fill="FFFFFF"/>
          <w:lang w:val="en-US" w:eastAsia="zh-CN" w:bidi="ar"/>
        </w:rPr>
        <w:t>“热”力十足运</w:t>
      </w:r>
      <w:r>
        <w:rPr>
          <w:rFonts w:hint="default" w:ascii="Times New Roman" w:hAnsi="Times New Roman" w:eastAsia="宋体" w:cs="Times New Roman"/>
          <w:color w:val="333333"/>
          <w:kern w:val="0"/>
          <w:sz w:val="21"/>
          <w:szCs w:val="21"/>
          <w:shd w:val="clear" w:color="auto" w:fill="FFFFFF"/>
          <w:lang w:val="en-US" w:eastAsia="zh-CN" w:bidi="ar"/>
        </w:rPr>
        <w:t>用的创新思维方法。（9分）</w:t>
      </w:r>
    </w:p>
    <w:p w14:paraId="0D94D472">
      <w:pPr>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afterAutospacing="0"/>
        <w:ind w:left="0" w:leftChars="0" w:firstLine="0" w:firstLine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结合材料，运用文化传承与文化创新的知识，说明天水市</w:t>
      </w:r>
      <w:r>
        <w:rPr>
          <w:rFonts w:hint="eastAsia" w:ascii="宋体" w:hAnsi="宋体" w:eastAsia="宋体" w:cs="宋体"/>
          <w:color w:val="333333"/>
          <w:kern w:val="0"/>
          <w:sz w:val="21"/>
          <w:szCs w:val="21"/>
          <w:shd w:val="clear" w:color="auto" w:fill="FFFFFF"/>
          <w:lang w:val="en-US" w:eastAsia="zh-CN" w:bidi="ar"/>
        </w:rPr>
        <w:t>将“流量”转化成“留量”，使“热度”转化成“温度”</w:t>
      </w:r>
      <w:r>
        <w:rPr>
          <w:rFonts w:hint="default" w:ascii="Times New Roman" w:hAnsi="Times New Roman" w:eastAsia="宋体" w:cs="Times New Roman"/>
          <w:color w:val="333333"/>
          <w:kern w:val="0"/>
          <w:sz w:val="21"/>
          <w:szCs w:val="21"/>
          <w:shd w:val="clear" w:color="auto" w:fill="FFFFFF"/>
          <w:lang w:val="en-US" w:eastAsia="zh-CN" w:bidi="ar"/>
        </w:rPr>
        <w:t>的意义。（8分）</w:t>
      </w:r>
    </w:p>
    <w:p w14:paraId="750A8C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40D766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242A1BD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6ADE35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0EED9A0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785789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1F9C7D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2EA57B9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462185E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2B0137A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60CA5D5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2C33FA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48DB05F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4059BB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5B225AD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46DBF5E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5E16D11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25D621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4B0A51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259B0F4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54ECC18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671E51F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659520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6676434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24B4A09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23FF7A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556C78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5A6F5D5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31E602B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1B07E89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1188D28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45AFB4B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2CDF921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p>
    <w:p w14:paraId="13124D0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spacing w:val="7"/>
          <w:kern w:val="0"/>
          <w:sz w:val="21"/>
          <w:szCs w:val="21"/>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br w:type="textWrapping"/>
      </w:r>
      <w:r>
        <w:rPr>
          <w:rFonts w:hint="default" w:ascii="Times New Roman" w:hAnsi="Times New Roman" w:eastAsia="宋体" w:cs="Times New Roman"/>
          <w:color w:val="333333"/>
          <w:kern w:val="0"/>
          <w:sz w:val="21"/>
          <w:szCs w:val="21"/>
          <w:shd w:val="clear" w:color="auto" w:fill="FFFFFF"/>
          <w:lang w:val="en-US" w:eastAsia="zh-CN" w:bidi="ar"/>
        </w:rPr>
        <w:t>20．阅读材料，完成下列要求。（10分）</w:t>
      </w:r>
      <w:r>
        <w:rPr>
          <w:rFonts w:hint="default" w:ascii="Times New Roman" w:hAnsi="Times New Roman" w:eastAsia="宋体" w:cs="Times New Roman"/>
          <w:spacing w:val="7"/>
          <w:kern w:val="0"/>
          <w:sz w:val="21"/>
          <w:szCs w:val="21"/>
          <w:lang w:val="en-US" w:eastAsia="zh-CN" w:bidi="ar"/>
        </w:rPr>
        <w:drawing>
          <wp:inline distT="0" distB="0" distL="114300" distR="114300">
            <wp:extent cx="6384290" cy="4479290"/>
            <wp:effectExtent l="0" t="0" r="3810" b="381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6384290" cy="4479290"/>
                    </a:xfrm>
                    <a:prstGeom prst="rect">
                      <a:avLst/>
                    </a:prstGeom>
                    <a:noFill/>
                    <a:ln w="9525">
                      <a:noFill/>
                    </a:ln>
                  </pic:spPr>
                </pic:pic>
              </a:graphicData>
            </a:graphic>
          </wp:inline>
        </w:drawing>
      </w:r>
    </w:p>
    <w:p w14:paraId="2DCED18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jc w:val="left"/>
        <w:textAlignment w:val="auto"/>
        <w:rPr>
          <w:rFonts w:hint="default" w:ascii="Times New Roman" w:hAnsi="Times New Roman" w:eastAsia="宋体" w:cs="Times New Roman"/>
          <w:color w:val="333333"/>
          <w:kern w:val="0"/>
          <w:sz w:val="21"/>
          <w:szCs w:val="21"/>
          <w:shd w:val="clear" w:color="auto" w:fill="FFFFFF"/>
          <w:lang w:val="en-US" w:eastAsia="zh-CN" w:bidi="ar"/>
        </w:rPr>
      </w:pPr>
      <w:r>
        <w:rPr>
          <w:rFonts w:hint="default" w:ascii="Times New Roman" w:hAnsi="Times New Roman" w:eastAsia="宋体" w:cs="Times New Roman"/>
          <w:color w:val="333333"/>
          <w:kern w:val="0"/>
          <w:sz w:val="21"/>
          <w:szCs w:val="21"/>
          <w:shd w:val="clear" w:color="auto" w:fill="FFFFFF"/>
          <w:lang w:val="en-US" w:eastAsia="zh-CN" w:bidi="ar"/>
        </w:rPr>
        <w:t>（1）请指出A学校传真订货、B公司报价、A学校回复报价行为分别所处的合同订立阶段。（3分）</w:t>
      </w:r>
    </w:p>
    <w:p w14:paraId="57DAC38C">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333333"/>
          <w:kern w:val="0"/>
          <w:sz w:val="21"/>
          <w:szCs w:val="21"/>
          <w:shd w:val="clear" w:color="auto" w:fill="FFFFFF"/>
          <w:lang w:val="en-US" w:eastAsia="zh-CN" w:bidi="ar"/>
        </w:rPr>
        <w:t>（2）A学校提出买卖合同不能成立,你同意其说法吗？并简要说明理由。（7分</w:t>
      </w:r>
    </w:p>
    <w:p w14:paraId="1639B0D3">
      <w:pPr>
        <w:sectPr>
          <w:pgSz w:w="11906" w:h="16838"/>
          <w:pgMar w:top="720" w:right="720" w:bottom="720" w:left="720" w:header="851" w:footer="992" w:gutter="0"/>
          <w:cols w:space="425" w:num="1"/>
          <w:docGrid w:type="lines" w:linePitch="312" w:charSpace="0"/>
        </w:sectPr>
      </w:pPr>
    </w:p>
    <w:p w14:paraId="08B77ECC">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default" w:ascii="Times New Roman" w:hAnsi="Times New Roman" w:eastAsia="宋体" w:cs="Times New Roman"/>
          <w:b/>
          <w:bCs/>
          <w:spacing w:val="7"/>
          <w:kern w:val="0"/>
          <w:sz w:val="21"/>
          <w:szCs w:val="21"/>
          <w:lang w:val="en-US" w:eastAsia="zh-CN" w:bidi="ar"/>
        </w:rPr>
      </w:pPr>
      <w:bookmarkStart w:id="0" w:name="_GoBack"/>
      <w:r>
        <w:rPr>
          <w:rFonts w:hint="default" w:ascii="Times New Roman" w:hAnsi="Times New Roman" w:eastAsia="宋体" w:cs="Times New Roman"/>
          <w:b/>
          <w:bCs/>
          <w:spacing w:val="7"/>
          <w:kern w:val="0"/>
          <w:sz w:val="21"/>
          <w:szCs w:val="21"/>
          <w:lang w:val="en-US" w:eastAsia="zh-CN" w:bidi="ar"/>
        </w:rPr>
        <w:drawing>
          <wp:anchor distT="0" distB="0" distL="114300" distR="114300" simplePos="0" relativeHeight="251660288" behindDoc="0" locked="0" layoutInCell="1" allowOverlap="1">
            <wp:simplePos x="0" y="0"/>
            <wp:positionH relativeFrom="page">
              <wp:posOffset>10922000</wp:posOffset>
            </wp:positionH>
            <wp:positionV relativeFrom="topMargin">
              <wp:posOffset>10820400</wp:posOffset>
            </wp:positionV>
            <wp:extent cx="495300" cy="3048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495300" cy="304800"/>
                    </a:xfrm>
                    <a:prstGeom prst="rect">
                      <a:avLst/>
                    </a:prstGeom>
                  </pic:spPr>
                </pic:pic>
              </a:graphicData>
            </a:graphic>
          </wp:anchor>
        </w:drawing>
      </w:r>
      <w:bookmarkEnd w:id="0"/>
      <w:r>
        <w:rPr>
          <w:rFonts w:hint="default" w:ascii="Times New Roman" w:hAnsi="Times New Roman" w:eastAsia="宋体" w:cs="Times New Roman"/>
          <w:b/>
          <w:bCs/>
          <w:spacing w:val="7"/>
          <w:kern w:val="0"/>
          <w:sz w:val="21"/>
          <w:szCs w:val="21"/>
          <w:lang w:val="en-US" w:eastAsia="zh-CN" w:bidi="ar"/>
        </w:rPr>
        <w:t>湖北名校联盟2025届第二次高三联合测评政治试题</w:t>
      </w:r>
      <w:r>
        <w:rPr>
          <w:rFonts w:hint="eastAsia" w:ascii="Times New Roman" w:hAnsi="Times New Roman" w:eastAsia="宋体" w:cs="Times New Roman"/>
          <w:b/>
          <w:bCs/>
          <w:spacing w:val="7"/>
          <w:kern w:val="0"/>
          <w:sz w:val="21"/>
          <w:szCs w:val="21"/>
          <w:lang w:val="en-US" w:eastAsia="zh-CN" w:bidi="ar"/>
        </w:rPr>
        <w:t>答案</w:t>
      </w:r>
    </w:p>
    <w:p w14:paraId="027134E9">
      <w:pPr>
        <w:keepNext w:val="0"/>
        <w:keepLines w:val="0"/>
        <w:widowControl/>
        <w:numPr>
          <w:ilvl w:val="0"/>
          <w:numId w:val="18"/>
        </w:numPr>
        <w:suppressLineNumbers w:val="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D 【解析】本题考查空想社会主义和科学社会主义的相关知识。虽然题中这种反对阶级斗争的幻想带有空想性，但依旧为科学社会主义的产生提供了思想来源，而不是毫无现实意义，故①错误。这种幻想主张通过阶级调和实现社会变革，虽然没能正确反映当时社会的阶级矛盾，但依然是对社会现实的反映，故②错误。③④正确。综上，本题正确答案为D。</w:t>
      </w:r>
    </w:p>
    <w:p w14:paraId="4475A6F3">
      <w:pPr>
        <w:keepNext w:val="0"/>
        <w:keepLines w:val="0"/>
        <w:widowControl/>
        <w:numPr>
          <w:ilvl w:val="0"/>
          <w:numId w:val="18"/>
        </w:numPr>
        <w:suppressLineNumbers w:val="0"/>
        <w:jc w:val="left"/>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D 【解析】本题考查城乡融合和乡村振兴的有关知识。农村</w:t>
      </w:r>
      <w:r>
        <w:rPr>
          <w:rFonts w:hint="eastAsia" w:ascii="宋体" w:hAnsi="宋体" w:eastAsia="宋体" w:cs="宋体"/>
          <w:kern w:val="0"/>
          <w:sz w:val="21"/>
          <w:szCs w:val="21"/>
          <w:lang w:val="en-US" w:eastAsia="zh-CN" w:bidi="ar"/>
        </w:rPr>
        <w:t>“三权分置”改</w:t>
      </w:r>
      <w:r>
        <w:rPr>
          <w:rFonts w:hint="default" w:ascii="Times New Roman" w:hAnsi="Times New Roman" w:eastAsia="宋体" w:cs="Times New Roman"/>
          <w:kern w:val="0"/>
          <w:sz w:val="21"/>
          <w:szCs w:val="21"/>
          <w:lang w:val="en-US" w:eastAsia="zh-CN" w:bidi="ar"/>
        </w:rPr>
        <w:t>革，流转的是土地经营权而非所有权，①错误。农民通过宅基地租赁获得的收入属于财产性收入，而不是转移性收入，故排除③。②④符合题意。综上，本题正确答案为D。</w:t>
      </w:r>
    </w:p>
    <w:p w14:paraId="0D7EFF1A">
      <w:pPr>
        <w:keepNext w:val="0"/>
        <w:keepLines w:val="0"/>
        <w:widowControl/>
        <w:numPr>
          <w:ilvl w:val="0"/>
          <w:numId w:val="18"/>
        </w:numPr>
        <w:suppressLineNumbers w:val="0"/>
        <w:jc w:val="left"/>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A 【解析】本题考查制度型开放的有关知识。传导类试题，传导前后两项要有引起与被引起的关系，且本题要求传导的起点是制度型开放。③扩大技术产品出口属于商品和要素流动型开放，并且单向扩大出口不能得出畅通“双循环”的结论，故排除。选项④实施数字贸</w:t>
      </w:r>
      <w:r>
        <w:rPr>
          <w:rFonts w:hint="eastAsia" w:ascii="宋体" w:hAnsi="宋体" w:eastAsia="宋体" w:cs="宋体"/>
          <w:kern w:val="0"/>
          <w:sz w:val="21"/>
          <w:szCs w:val="21"/>
          <w:lang w:val="en-US" w:eastAsia="zh-CN" w:bidi="ar"/>
        </w:rPr>
        <w:t>易“负面清单”制度与增强国际</w:t>
      </w:r>
      <w:r>
        <w:rPr>
          <w:rFonts w:hint="default" w:ascii="Times New Roman" w:hAnsi="Times New Roman" w:eastAsia="宋体" w:cs="Times New Roman"/>
          <w:kern w:val="0"/>
          <w:sz w:val="21"/>
          <w:szCs w:val="21"/>
          <w:lang w:val="en-US" w:eastAsia="zh-CN" w:bidi="ar"/>
        </w:rPr>
        <w:t>规则制定话语权之间没有直接的引起与被引起的关系，故排除④。①②符合题意，故本题答案为A。</w:t>
      </w:r>
    </w:p>
    <w:p w14:paraId="675437D1">
      <w:pPr>
        <w:keepNext w:val="0"/>
        <w:keepLines w:val="0"/>
        <w:widowControl/>
        <w:numPr>
          <w:ilvl w:val="0"/>
          <w:numId w:val="18"/>
        </w:numPr>
        <w:suppressLineNumbers w:val="0"/>
        <w:jc w:val="left"/>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D 【解析】本题考查三大产业与经济高质量发展的有关知识。因为相对值不能等同于绝对值，所以，第一产业对国家经济发展的贡献率将下降，并不意味着第一产业的总产值下降。故①排除。第二产业的贡献率保持在高位，并不会动摇第一产业（农业）在国民经济中的基础性地位和作用，②错误。由图表数据的波动变化及趋向，可以判断我国正朝着形成“三二一”产业贡献率格局的方向发展，三大产业发展的协同性增强，产业结构不断优化。故③④入选。综上，本题正确答案为D。</w:t>
      </w:r>
    </w:p>
    <w:p w14:paraId="56D9005E">
      <w:pPr>
        <w:keepNext w:val="0"/>
        <w:keepLines w:val="0"/>
        <w:widowControl/>
        <w:numPr>
          <w:ilvl w:val="0"/>
          <w:numId w:val="18"/>
        </w:numPr>
        <w:suppressLineNumbers w:val="0"/>
        <w:jc w:val="left"/>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C 【解析】本题以过境免签政策考查对外交往相关知识。免签是外交服务中国高质量发展和高水平对外开放的重要举措，不属于践行多边主义，也不能说旨在推动时代主题的变化，①说法错误。我国现阶段经济社会发展的根本基点是独立自主、自力更生，④错误。制定简化签证手续的协定，实现了出入境手续的简化，能更好促进中外交流与合作，②正确。中国开展公共外交,有利于展示我国开放包容的形象，提升我国国际影响力，③正确。综上，本题正确答案为C。</w:t>
      </w:r>
    </w:p>
    <w:p w14:paraId="0A93AC5E">
      <w:pPr>
        <w:keepNext w:val="0"/>
        <w:keepLines w:val="0"/>
        <w:widowControl/>
        <w:numPr>
          <w:ilvl w:val="0"/>
          <w:numId w:val="18"/>
        </w:numPr>
        <w:suppressLineNumbers w:val="0"/>
        <w:jc w:val="left"/>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B 【解析】本题通过展示我国对外直接投资数据，考查金融全球化的相关知识。表格反映我国对外投资不直接涉及国际分工，也不涉及对外贸易。故②④错误。中国对外直接投资规模继续保持世界前列，境外企业覆盖全球超过80%的国家和地区，这有利于我国积极参与经济全球化进程，助推世界经济发展，故①正确。我国对外直接投资中对建筑业、信息传输/软件和信息技术服务业投资增长较快，说明我国对外投资结构持续优化，走出去水平提高。故③正确。综上，本题正确答案为B。</w:t>
      </w:r>
    </w:p>
    <w:p w14:paraId="50B0C991">
      <w:pPr>
        <w:keepNext w:val="0"/>
        <w:keepLines w:val="0"/>
        <w:widowControl/>
        <w:numPr>
          <w:ilvl w:val="0"/>
          <w:numId w:val="18"/>
        </w:numPr>
        <w:suppressLineNumbers w:val="0"/>
        <w:jc w:val="left"/>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C 【解析】本题以该市政协和检察院协同监督案件为背景，考查学生对政协、检察院各自职能等必备知识的掌握情况以及</w:t>
      </w:r>
      <w:r>
        <w:rPr>
          <w:rFonts w:hint="eastAsia" w:ascii="宋体" w:hAnsi="宋体" w:eastAsia="宋体" w:cs="宋体"/>
          <w:kern w:val="0"/>
          <w:sz w:val="21"/>
          <w:szCs w:val="21"/>
          <w:lang w:val="en-US" w:eastAsia="zh-CN" w:bidi="ar"/>
        </w:rPr>
        <w:t>“分析与综合”的学科关键能力。人民</w:t>
      </w:r>
      <w:r>
        <w:rPr>
          <w:rFonts w:hint="default" w:ascii="Times New Roman" w:hAnsi="Times New Roman" w:eastAsia="宋体" w:cs="Times New Roman"/>
          <w:kern w:val="0"/>
          <w:sz w:val="21"/>
          <w:szCs w:val="21"/>
          <w:lang w:val="en-US" w:eastAsia="zh-CN" w:bidi="ar"/>
        </w:rPr>
        <w:t>政协是中国人民的爱国统一战线组织，并不是国家机关，①说法错误。人民政协和检察机关的职权是法定的，不能随意扩大，④说法错误。②③符合“政协+检察”协同监督的意义。综上，本题正确答案为C。</w:t>
      </w:r>
    </w:p>
    <w:p w14:paraId="47A91EFF">
      <w:pPr>
        <w:keepNext w:val="0"/>
        <w:keepLines w:val="0"/>
        <w:widowControl/>
        <w:numPr>
          <w:ilvl w:val="0"/>
          <w:numId w:val="18"/>
        </w:numPr>
        <w:suppressLineNumbers w:val="0"/>
        <w:jc w:val="left"/>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D 【解析】本题以新修订的《国防教育法》为背景，考查学生对人大常委会职能，依法治国等必备知识的掌握情况以及</w:t>
      </w:r>
      <w:r>
        <w:rPr>
          <w:rFonts w:hint="eastAsia" w:ascii="宋体" w:hAnsi="宋体" w:eastAsia="宋体" w:cs="宋体"/>
          <w:kern w:val="0"/>
          <w:sz w:val="21"/>
          <w:szCs w:val="21"/>
          <w:lang w:val="en-US" w:eastAsia="zh-CN" w:bidi="ar"/>
        </w:rPr>
        <w:t>“辨识与判断”“分析与综合”的学科关键能力</w:t>
      </w:r>
      <w:r>
        <w:rPr>
          <w:rFonts w:hint="default" w:ascii="Times New Roman" w:hAnsi="Times New Roman" w:eastAsia="宋体" w:cs="Times New Roman"/>
          <w:kern w:val="0"/>
          <w:sz w:val="21"/>
          <w:szCs w:val="21"/>
          <w:lang w:val="en-US" w:eastAsia="zh-CN" w:bidi="ar"/>
        </w:rPr>
        <w:t>。全国人大行使最高立法权，全国人大常委会不具有最高立法权，①说法错误。题干涉及的是完善法律，不涉及法治实施和监督体系，③错误。根据党中央的决策部署，在向社会公开并广泛征求各方意见的基础上，十四届全国人大常委会表决通过了新修订的《国防教育法》，体现了全国人大常委会坚持科学、民主、依法立法，中国共产党通过法定程序领导人民有效治国理政，②④正确。综上，本题正确答案为D。</w:t>
      </w:r>
    </w:p>
    <w:p w14:paraId="35176047">
      <w:pPr>
        <w:keepNext w:val="0"/>
        <w:keepLines w:val="0"/>
        <w:widowControl/>
        <w:numPr>
          <w:ilvl w:val="0"/>
          <w:numId w:val="18"/>
        </w:numPr>
        <w:suppressLineNumbers w:val="0"/>
        <w:jc w:val="left"/>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A 【解析】本题以某县公安局车管所</w:t>
      </w:r>
      <w:r>
        <w:rPr>
          <w:rFonts w:hint="eastAsia" w:ascii="宋体" w:hAnsi="宋体" w:eastAsia="宋体" w:cs="宋体"/>
          <w:kern w:val="0"/>
          <w:sz w:val="21"/>
          <w:szCs w:val="21"/>
          <w:lang w:val="en-US" w:eastAsia="zh-CN" w:bidi="ar"/>
        </w:rPr>
        <w:t>“放管服”改革提升车驾管服务为背景，考查学生对法治政府等必备知识的掌握情况以及“辨识与判断”“分析与综合”的学科关键能力。材料体现的是政府加强服务职能，没体现强化管理职能，同时，②选项也不是材料中做法的目的，故②不选；“放管服”改革和完善执法制度与提高司法效率无关，④不选。“引入更多智能化、信息化的技术手段”、“让群众最多跑一次”等旨</w:t>
      </w:r>
      <w:r>
        <w:rPr>
          <w:rFonts w:hint="default" w:ascii="Times New Roman" w:hAnsi="Times New Roman" w:eastAsia="宋体" w:cs="Times New Roman"/>
          <w:kern w:val="0"/>
          <w:sz w:val="21"/>
          <w:szCs w:val="21"/>
          <w:lang w:val="en-US" w:eastAsia="zh-CN" w:bidi="ar"/>
        </w:rPr>
        <w:t>在优化车架服务流程，为群众提供优质服务，体现了创新公共服务方式以利于规范社会秩序，①③符合题意。综上，本题正确答案为A。</w:t>
      </w:r>
    </w:p>
    <w:p w14:paraId="35F66192">
      <w:pPr>
        <w:keepNext w:val="0"/>
        <w:keepLines w:val="0"/>
        <w:widowControl/>
        <w:numPr>
          <w:ilvl w:val="0"/>
          <w:numId w:val="18"/>
        </w:numPr>
        <w:suppressLineNumbers w:val="0"/>
        <w:jc w:val="left"/>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B 【解析】本题通过生活案例，考查自然人的民事行为能力类型和侵权责任有关知识。12岁的小华系限制民事行为能力人，②选项错误。法律上的过错包括故意或过失，小红不是故意伤害王某，但存在过失，因此对王某受伤存在法律上的过错，③错误。本案所涉侵犯了王某的人身权，人身关系的客体是人身利益，故①正确。我国推行多元纠纷化解机制，进入诉讼程序前，经当事人同意，可以把该起纠纷交由专业调解员对案件双方当事人进行调解，经调解员调解后达到化解双方纠纷的目的，故④正确。综上，本题正确答案为B。</w:t>
      </w:r>
    </w:p>
    <w:p w14:paraId="2F4314B2">
      <w:pPr>
        <w:keepNext w:val="0"/>
        <w:keepLines w:val="0"/>
        <w:widowControl/>
        <w:numPr>
          <w:ilvl w:val="0"/>
          <w:numId w:val="0"/>
        </w:numPr>
        <w:suppressLineNumbers w:val="0"/>
        <w:jc w:val="left"/>
        <w:rPr>
          <w:rFonts w:hint="default" w:ascii="Times New Roman" w:hAnsi="Times New Roman" w:cs="Times New Roman"/>
          <w:sz w:val="21"/>
          <w:szCs w:val="21"/>
        </w:rPr>
      </w:pPr>
    </w:p>
    <w:p w14:paraId="21670700">
      <w:pPr>
        <w:keepNext w:val="0"/>
        <w:keepLines w:val="0"/>
        <w:widowControl/>
        <w:numPr>
          <w:ilvl w:val="0"/>
          <w:numId w:val="18"/>
        </w:numPr>
        <w:suppressLineNumbers w:val="0"/>
        <w:jc w:val="left"/>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D 【解析】本题考查劳动合同、劳动者合法权利的有关知识。合同约定：</w:t>
      </w:r>
      <w:r>
        <w:rPr>
          <w:rFonts w:hint="eastAsia" w:ascii="宋体" w:hAnsi="宋体" w:eastAsia="宋体" w:cs="宋体"/>
          <w:kern w:val="0"/>
          <w:sz w:val="21"/>
          <w:szCs w:val="21"/>
          <w:lang w:val="en-US" w:eastAsia="zh-CN" w:bidi="ar"/>
        </w:rPr>
        <w:t>“工作安全自负，工伤概不负责”属用人单位免除自己的法定责任、排除劳动者权利的情形，违反了劳动法规定。因此，该公司与王某父子签订的劳动合同关于劳动安全责任这部分无效，但并不是劳动合同全部无效，故①错误。《中华人民共和国劳动法》第六十四条规定:“不得安排未成年工从事矿山井下、有毒有害、国家规定的第四级体力劳动强度的劳动和其他禁忌从事的劳动”，故②错误。《中华人民共和国劳动法》规定：“用人单位必须为劳动者提供符合国家规定的劳动安全卫生条件和必要的劳动防护用品”,“劳动者依法享有法律规定的劳动安全卫生保护的权利。” ③正确。劳动争议调解仲裁法规定，发生劳动争议，劳动者可以请工会或者第三方共同与用人单位协商，达成和解协议，④正确。综上，本题正</w:t>
      </w:r>
      <w:r>
        <w:rPr>
          <w:rFonts w:hint="default" w:ascii="Times New Roman" w:hAnsi="Times New Roman" w:eastAsia="宋体" w:cs="Times New Roman"/>
          <w:kern w:val="0"/>
          <w:sz w:val="21"/>
          <w:szCs w:val="21"/>
          <w:lang w:val="en-US" w:eastAsia="zh-CN" w:bidi="ar"/>
        </w:rPr>
        <w:t>确答案为D。</w:t>
      </w:r>
    </w:p>
    <w:p w14:paraId="241A9B04">
      <w:pPr>
        <w:keepNext w:val="0"/>
        <w:keepLines w:val="0"/>
        <w:widowControl/>
        <w:numPr>
          <w:ilvl w:val="0"/>
          <w:numId w:val="18"/>
        </w:numPr>
        <w:suppressLineNumbers w:val="0"/>
        <w:jc w:val="left"/>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A 【解析】根据题干可知：犯罪行为违反刑事法律规定。犯罪行为是具有严重社会危害性的行为。根据这两个前提进行三段论推理，可推出：有的具有严重社会危害性的行为违反刑事法律规定。在这个三段论推理中，小项是</w:t>
      </w:r>
      <w:r>
        <w:rPr>
          <w:rFonts w:hint="eastAsia" w:ascii="宋体" w:hAnsi="宋体" w:eastAsia="宋体" w:cs="宋体"/>
          <w:kern w:val="0"/>
          <w:sz w:val="21"/>
          <w:szCs w:val="21"/>
          <w:lang w:val="en-US" w:eastAsia="zh-CN" w:bidi="ar"/>
        </w:rPr>
        <w:t>“具有严重社会危害性的行为”，中项是“犯罪行为”，大项是“违反刑事法律规定”。综</w:t>
      </w:r>
      <w:r>
        <w:rPr>
          <w:rFonts w:hint="default" w:ascii="Times New Roman" w:hAnsi="Times New Roman" w:eastAsia="宋体" w:cs="Times New Roman"/>
          <w:kern w:val="0"/>
          <w:sz w:val="21"/>
          <w:szCs w:val="21"/>
          <w:lang w:val="en-US" w:eastAsia="zh-CN" w:bidi="ar"/>
        </w:rPr>
        <w:t>上，本题正确答案为A。</w:t>
      </w:r>
    </w:p>
    <w:p w14:paraId="2D23513A">
      <w:pPr>
        <w:keepNext w:val="0"/>
        <w:keepLines w:val="0"/>
        <w:widowControl/>
        <w:numPr>
          <w:ilvl w:val="0"/>
          <w:numId w:val="18"/>
        </w:numPr>
        <w:suppressLineNumbers w:val="0"/>
        <w:jc w:val="left"/>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B 【解析】本题考查学生运用形式逻辑的有关知识探究和分析问题的能力。</w:t>
      </w:r>
    </w:p>
    <w:tbl>
      <w:tblPr>
        <w:tblStyle w:val="5"/>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5"/>
        <w:gridCol w:w="2845"/>
        <w:gridCol w:w="2510"/>
        <w:gridCol w:w="2940"/>
      </w:tblGrid>
      <w:tr w14:paraId="127D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1115"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top"/>
          </w:tcPr>
          <w:p w14:paraId="41738CDF">
            <w:pPr>
              <w:keepNext w:val="0"/>
              <w:keepLines w:val="0"/>
              <w:widowControl/>
              <w:suppressLineNumbers w:val="0"/>
              <w:jc w:val="center"/>
              <w:rPr>
                <w:rFonts w:hint="default" w:ascii="Times New Roman" w:hAnsi="Times New Roman" w:cs="Times New Roman"/>
                <w:sz w:val="21"/>
                <w:szCs w:val="21"/>
              </w:rPr>
            </w:pPr>
          </w:p>
        </w:tc>
        <w:tc>
          <w:tcPr>
            <w:tcW w:w="2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14FD6601">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建议</w:t>
            </w:r>
          </w:p>
        </w:tc>
        <w:tc>
          <w:tcPr>
            <w:tcW w:w="2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31D81B0D">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判断类型</w:t>
            </w:r>
          </w:p>
        </w:tc>
        <w:tc>
          <w:tcPr>
            <w:tcW w:w="29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1D050EB5">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分析</w:t>
            </w:r>
          </w:p>
        </w:tc>
      </w:tr>
      <w:tr w14:paraId="42CB9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111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7693D68D">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老师</w:t>
            </w:r>
          </w:p>
        </w:tc>
        <w:tc>
          <w:tcPr>
            <w:tcW w:w="2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395BD2A3">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如果不选地理就不要选生物</w:t>
            </w:r>
          </w:p>
        </w:tc>
        <w:tc>
          <w:tcPr>
            <w:tcW w:w="2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74A67D47">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充分条件假言判断</w:t>
            </w:r>
          </w:p>
        </w:tc>
        <w:tc>
          <w:tcPr>
            <w:tcW w:w="29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3EAC5389">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地理</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生物、生物+地理</w:t>
            </w:r>
          </w:p>
        </w:tc>
      </w:tr>
      <w:tr w14:paraId="2EBC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111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7A5E8E70">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爸爸</w:t>
            </w:r>
          </w:p>
        </w:tc>
        <w:tc>
          <w:tcPr>
            <w:tcW w:w="2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43147CCF">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要么选生物，要么选地理</w:t>
            </w:r>
          </w:p>
        </w:tc>
        <w:tc>
          <w:tcPr>
            <w:tcW w:w="2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6E0C3399">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不相容选言判断</w:t>
            </w:r>
          </w:p>
        </w:tc>
        <w:tc>
          <w:tcPr>
            <w:tcW w:w="29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56771908">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地理+非生物、生物+非地理</w:t>
            </w:r>
          </w:p>
        </w:tc>
      </w:tr>
      <w:tr w14:paraId="561A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111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72D86817">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妈妈</w:t>
            </w:r>
          </w:p>
        </w:tc>
        <w:tc>
          <w:tcPr>
            <w:tcW w:w="2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7ACFAD69">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如果不选生物就要选地理</w:t>
            </w:r>
          </w:p>
        </w:tc>
        <w:tc>
          <w:tcPr>
            <w:tcW w:w="2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1EB56396">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充分条件假言判断</w:t>
            </w:r>
          </w:p>
        </w:tc>
        <w:tc>
          <w:tcPr>
            <w:tcW w:w="29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0F062BFF">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非生物+地理、非地理+生物</w:t>
            </w:r>
          </w:p>
        </w:tc>
      </w:tr>
    </w:tbl>
    <w:p w14:paraId="40D8449A">
      <w:pPr>
        <w:keepNext w:val="0"/>
        <w:keepLines w:val="0"/>
        <w:widowControl/>
        <w:suppressLineNumbers w:val="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由上表可知，</w:t>
      </w:r>
      <w:r>
        <w:rPr>
          <w:rFonts w:hint="eastAsia" w:ascii="宋体" w:hAnsi="宋体" w:eastAsia="宋体" w:cs="宋体"/>
          <w:kern w:val="0"/>
          <w:sz w:val="21"/>
          <w:szCs w:val="21"/>
          <w:lang w:val="en-US" w:eastAsia="zh-CN" w:bidi="ar"/>
        </w:rPr>
        <w:t>“选地理不选生物”能够满足老师和家长的意</w:t>
      </w:r>
      <w:r>
        <w:rPr>
          <w:rFonts w:hint="default" w:ascii="Times New Roman" w:hAnsi="Times New Roman" w:eastAsia="宋体" w:cs="Times New Roman"/>
          <w:kern w:val="0"/>
          <w:sz w:val="21"/>
          <w:szCs w:val="21"/>
          <w:lang w:val="en-US" w:eastAsia="zh-CN" w:bidi="ar"/>
        </w:rPr>
        <w:t>见，B符合题意；</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既选生物又选地理</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不符合爸爸的建议，A不符合题意；</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选生物不选地理</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不能满足老师的建议，C不符合题意；</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既不选地理也不选生物</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既不符合爸爸的建议，也不符合妈妈的建议，D项不符合题意。综上，本题正确答案为B。</w:t>
      </w:r>
    </w:p>
    <w:p w14:paraId="0D2EBB69">
      <w:pPr>
        <w:keepNext w:val="0"/>
        <w:keepLines w:val="0"/>
        <w:widowControl/>
        <w:numPr>
          <w:ilvl w:val="0"/>
          <w:numId w:val="18"/>
        </w:numPr>
        <w:suppressLineNumbers w:val="0"/>
        <w:ind w:left="0" w:leftChars="0" w:firstLine="0" w:firstLineChars="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A 【解析】本题以安徽武王墩墓考古取得的新成就为素材，考查学生运用认识论的有关知识探究和分析问题的能力。光谱仪这一认识工具的运用，帮助人们发现了漆器颜料中含有的铜、钙、砷等元素,增强了人们对漆器颜料成分的认识，①正确；新工具的创造和使用不会改变漆器颜料本身的物理或化学基本属性，只能帮助我们更准确地认识和了解这些属性，②错误；只有准确了解文物的成分、结构等基本属性，才能进行有效的保护和研究，③正确；新认识往往是在旧认知的基础上发展起来的，是对旧认知的补充和深化，而非全面否定，④错误。综上，本题正确答案为A。</w:t>
      </w:r>
    </w:p>
    <w:p w14:paraId="07E0C005">
      <w:pPr>
        <w:keepNext w:val="0"/>
        <w:keepLines w:val="0"/>
        <w:widowControl/>
        <w:numPr>
          <w:ilvl w:val="0"/>
          <w:numId w:val="18"/>
        </w:numPr>
        <w:suppressLineNumbers w:val="0"/>
        <w:ind w:left="0" w:leftChars="0" w:firstLine="0" w:firstLineChars="0"/>
        <w:jc w:val="left"/>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C 【解析】本题是一道漫画题。量变并不必然导致质变，量变只有积累到一定程度才会引起质变，①错误。质是一事物成为自身并区别于其他事物的内部固有的规定性，它决定了事物的本质特征，使得该事物能够与其他事物区分开来。任何事物总有一定的质，而特定的质也总是特定事物的质，改变事物的质就改变了事物的存在，因此，质与事物的存在是直接同一的。尽管事物的变化发展不能没有量，但量的变化在一定范围内不会改变事物的质。漫画</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等一朵花开，需要很多耐心和微笑</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就是正确把握了量变和质变的关系，懂得了在量变积累到一定程度以前不会发生质变，产生新质的量变过程是曲折漫长的，②③符合题意。矛盾的对立统一才是事物发展的源泉和动力，④错误。综上，本题正确答案为C。</w:t>
      </w:r>
    </w:p>
    <w:p w14:paraId="6717D31B">
      <w:pPr>
        <w:keepNext w:val="0"/>
        <w:keepLines w:val="0"/>
        <w:widowControl/>
        <w:numPr>
          <w:ilvl w:val="0"/>
          <w:numId w:val="18"/>
        </w:numPr>
        <w:suppressLineNumbers w:val="0"/>
        <w:ind w:left="0" w:leftChars="0" w:firstLine="0" w:firstLineChars="0"/>
        <w:jc w:val="left"/>
        <w:rPr>
          <w:rFonts w:hint="default" w:ascii="Times New Roman" w:hAnsi="Times New Roman" w:cs="Times New Roman"/>
          <w:sz w:val="21"/>
          <w:szCs w:val="21"/>
        </w:rPr>
      </w:pPr>
      <w:r>
        <w:rPr>
          <w:rFonts w:hint="default" w:ascii="Times New Roman" w:hAnsi="Times New Roman" w:eastAsia="宋体" w:cs="Times New Roman"/>
          <w:sz w:val="21"/>
          <w:szCs w:val="21"/>
        </w:rPr>
        <w:t>C 【解析】文化需要通过一定的载体呈现出来，但中秋月、月饼作为文化的载体，其本身并不是文化，①错误。包容性是指中华文化能够与外来文化友好相处，注重吸收和借鉴外来文化的有益成果，材料并未体现中华文化的这一特点，③错误。中秋节作为传统节日在凝聚人心、传承文化方面有着重要作用。一系列活动的开展使人们体会到了传统文化的赓续，更好感受到了传统节日的文化内涵，这表明丰富多彩的中秋活动有助于增强人们对民族文化的认同，能够将具有共同文化根脉的人们凝聚在一起，②④正确。综上，本题正确答案为C。</w:t>
      </w:r>
    </w:p>
    <w:p w14:paraId="60D5DCA6">
      <w:pPr>
        <w:keepNext w:val="0"/>
        <w:keepLines w:val="0"/>
        <w:widowControl/>
        <w:numPr>
          <w:ilvl w:val="0"/>
          <w:numId w:val="18"/>
        </w:numPr>
        <w:suppressLineNumbers w:val="0"/>
        <w:ind w:left="0" w:leftChars="0" w:firstLine="0" w:firstLineChars="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shd w:val="clear" w:color="auto" w:fill="FFFFFF"/>
          <w:lang w:val="en-US" w:eastAsia="zh-CN" w:bidi="ar"/>
        </w:rPr>
        <w:t>①社会主义市场经济的健康发展需要充分发挥市场在资源配置中的决定作用，更好发挥政府作用。（2分）</w:t>
      </w:r>
    </w:p>
    <w:p w14:paraId="76E01A59">
      <w:pPr>
        <w:keepNext w:val="0"/>
        <w:keepLines w:val="0"/>
        <w:widowControl/>
        <w:numPr>
          <w:ilvl w:val="0"/>
          <w:numId w:val="0"/>
        </w:numPr>
        <w:suppressLineNumbers w:val="0"/>
        <w:ind w:leftChars="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shd w:val="clear" w:color="auto" w:fill="FFFFFF"/>
          <w:lang w:val="en-US" w:eastAsia="zh-CN" w:bidi="ar"/>
        </w:rPr>
        <w:t>②破解康养产业发展困局需要政府制定相应财税、土地等政策，降低运营成本，提升产业竞争力；提供公共服务，完善相应设施，因此，该观点有一定合理性。（4分）但仅靠政府政策扶持，会导致资源配置效率低下，还需要发挥市场机制的作用，吸引社会力量广泛参与，因此，该观点存在片面性。（4分）</w:t>
      </w:r>
    </w:p>
    <w:p w14:paraId="25987B37">
      <w:pPr>
        <w:keepNext w:val="0"/>
        <w:keepLines w:val="0"/>
        <w:widowControl/>
        <w:numPr>
          <w:ilvl w:val="0"/>
          <w:numId w:val="18"/>
        </w:numPr>
        <w:suppressLineNumbers w:val="0"/>
        <w:ind w:left="0" w:leftChars="0" w:firstLine="0" w:firstLineChars="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shd w:val="clear" w:color="auto" w:fill="FFFFFF"/>
          <w:lang w:val="en-US" w:eastAsia="zh-CN" w:bidi="ar"/>
        </w:rPr>
        <w:t>示例：</w:t>
      </w:r>
      <w:r>
        <w:rPr>
          <w:rFonts w:hint="default" w:ascii="Times New Roman" w:hAnsi="Times New Roman" w:eastAsia="宋体" w:cs="Times New Roman"/>
          <w:kern w:val="0"/>
          <w:sz w:val="21"/>
          <w:szCs w:val="21"/>
          <w:lang w:val="en-US" w:eastAsia="zh-CN" w:bidi="ar"/>
        </w:rPr>
        <w:t>①我国坚持总体国家安全观，国家安全利益是国家的最高利益，数据安全事关国家安全。</w:t>
      </w:r>
      <w:r>
        <w:rPr>
          <w:rFonts w:hint="default" w:ascii="Times New Roman" w:hAnsi="Times New Roman" w:eastAsia="宋体" w:cs="Times New Roman"/>
          <w:color w:val="000000"/>
          <w:kern w:val="0"/>
          <w:sz w:val="21"/>
          <w:szCs w:val="21"/>
          <w:shd w:val="clear" w:color="auto" w:fill="FFFFFF"/>
          <w:lang w:val="en-US" w:eastAsia="zh-CN" w:bidi="ar"/>
        </w:rPr>
        <w:t>（2分）②面对非传统安全威胁，国际合作已成为不可或缺的重要途径，通过国际合作应对数字经济挑战，构建包容、开放、公平、安全的数字未来。（2分）③我国始终高举多边主义旗帜，倡导全人类共同价值，遵循联合国宪章宗旨和原则，坚定维护以联合国为核心的国际体系和以国际法为基础的国际秩序。（2分）④我国积极参与数字治理体系建设，参与跨境数据流动国际规则制定，为推动国际数据治理体系变革提出中国方案，注入中国力量。（2分）</w:t>
      </w:r>
      <w:r>
        <w:rPr>
          <w:rFonts w:hint="default" w:ascii="Times New Roman" w:hAnsi="Times New Roman" w:eastAsia="楷体" w:cs="Times New Roman"/>
          <w:color w:val="000000"/>
          <w:kern w:val="0"/>
          <w:sz w:val="21"/>
          <w:szCs w:val="21"/>
          <w:shd w:val="clear" w:color="auto" w:fill="FFFFFF"/>
          <w:lang w:val="en-US" w:eastAsia="zh-CN" w:bidi="ar"/>
        </w:rPr>
        <w:t>说明：本题为开放性试题，学生可从我国总体国家安全观、我国外交政策、中国智慧的生动实践、国际合作、完善全球治理等有关知识作答。言之有理，可以酌情给分。写出3个要点即可。</w:t>
      </w:r>
    </w:p>
    <w:p w14:paraId="2CA03D55">
      <w:pPr>
        <w:keepNext w:val="0"/>
        <w:keepLines w:val="0"/>
        <w:widowControl/>
        <w:numPr>
          <w:ilvl w:val="0"/>
          <w:numId w:val="18"/>
        </w:numPr>
        <w:suppressLineNumbers w:val="0"/>
        <w:ind w:left="0" w:leftChars="0" w:firstLine="0" w:firstLineChars="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shd w:val="clear" w:color="auto" w:fill="FFFFFF"/>
          <w:lang w:val="en-US" w:eastAsia="zh-CN" w:bidi="ar"/>
        </w:rPr>
        <w:t>（1）①人们的价值判断和价值选择是在实践基础上形成的。天水市基于调查研究的现状，积极行动，大力发展文旅产业。（3分）②做出正确的价值判断和价值选择，要自觉遵循社会发展的客观规律。天水各界因地制宜，充分发挥主观能动性，推动当地经济社会发展。（3分）③做出正确的价值判断和价值选择，要把人民群众的利益作为最高价值标准。一系列措施既拉动了就业，增加了人民收入，又满足了游客的旅游需求。（3分）</w:t>
      </w:r>
    </w:p>
    <w:p w14:paraId="3C87F781">
      <w:pPr>
        <w:keepNext w:val="0"/>
        <w:keepLines w:val="0"/>
        <w:widowControl/>
        <w:numPr>
          <w:ilvl w:val="0"/>
          <w:numId w:val="19"/>
        </w:numPr>
        <w:suppressLineNumbers w:val="0"/>
        <w:ind w:leftChars="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shd w:val="clear" w:color="auto" w:fill="FFFFFF"/>
          <w:lang w:val="en-US" w:eastAsia="zh-CN" w:bidi="ar"/>
        </w:rPr>
        <w:t>①市委运用超前思维进行前瞻设计，提出大发展目标。（3分）②天水媒体运用联想思维，借鉴淄博、哈尔滨等地的成功做法推动本地发展。（3分）③天水各界运用聚合思维和发散思维，围绕实现大发展目标各出“奇招”，合力让天水火爆出圈。（3分）</w:t>
      </w:r>
    </w:p>
    <w:p w14:paraId="742CFFD8">
      <w:pPr>
        <w:keepNext w:val="0"/>
        <w:keepLines w:val="0"/>
        <w:widowControl/>
        <w:numPr>
          <w:ilvl w:val="0"/>
          <w:numId w:val="19"/>
        </w:numPr>
        <w:suppressLineNumbers w:val="0"/>
        <w:ind w:leftChars="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shd w:val="clear" w:color="auto" w:fill="FFFFFF"/>
          <w:lang w:val="en-US" w:eastAsia="zh-CN" w:bidi="ar"/>
        </w:rPr>
        <w:t>①文化是经济的反映，对经济具有一定的反作用。各种沉浸式文化体验活动，满足了游客多元化、高品质的旅游需求，实现经济效益和社会效益的统一。（3分）②推动文化内容、形式、传播手段创新，促进中华优秀传统文化的创造性转化、创新性发展，生动展示了天水的风土人情和历史文化。（3分）③推出人民群众喜闻乐见的文化活动，满足了人民群众多样化、高品质的文化需要。（2分）</w:t>
      </w:r>
    </w:p>
    <w:p w14:paraId="6BCC0BF4">
      <w:pPr>
        <w:keepNext w:val="0"/>
        <w:keepLines w:val="0"/>
        <w:widowControl/>
        <w:numPr>
          <w:ilvl w:val="0"/>
          <w:numId w:val="18"/>
        </w:numPr>
        <w:suppressLineNumbers w:val="0"/>
        <w:ind w:left="0" w:leftChars="0" w:firstLine="0" w:firstLineChars="0"/>
        <w:jc w:val="left"/>
        <w:rPr>
          <w:rFonts w:hint="default" w:ascii="Times New Roman" w:hAnsi="Times New Roman" w:eastAsia="宋体" w:cs="Times New Roman"/>
          <w:color w:val="000000"/>
          <w:kern w:val="0"/>
          <w:sz w:val="21"/>
          <w:szCs w:val="21"/>
          <w:shd w:val="clear" w:color="auto" w:fill="FFFFFF"/>
          <w:lang w:val="en-US" w:eastAsia="zh-CN" w:bidi="ar"/>
        </w:rPr>
      </w:pPr>
      <w:r>
        <w:rPr>
          <w:rFonts w:hint="default" w:ascii="Times New Roman" w:hAnsi="Times New Roman" w:eastAsia="宋体" w:cs="Times New Roman"/>
          <w:color w:val="000000"/>
          <w:kern w:val="0"/>
          <w:sz w:val="21"/>
          <w:szCs w:val="21"/>
          <w:shd w:val="clear" w:color="auto" w:fill="FFFFFF"/>
          <w:lang w:val="en-US" w:eastAsia="zh-CN" w:bidi="ar"/>
        </w:rPr>
        <w:t>（1）A学校传真订货行为的性质属于要约邀请。（1分）B公司报价行为的性质属于要约。（1分）A学校回复报价行为的性质属于承诺。（1分）</w:t>
      </w:r>
    </w:p>
    <w:p w14:paraId="7C46B843">
      <w:pPr>
        <w:keepNext w:val="0"/>
        <w:keepLines w:val="0"/>
        <w:widowControl/>
        <w:numPr>
          <w:ilvl w:val="0"/>
          <w:numId w:val="0"/>
        </w:numPr>
        <w:suppressLineNumbers w:val="0"/>
        <w:ind w:leftChars="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shd w:val="clear" w:color="auto" w:fill="FFFFFF"/>
          <w:lang w:val="en-US" w:eastAsia="zh-CN" w:bidi="ar"/>
        </w:rPr>
        <w:t>（2）不同意，买卖合同依法成立。（1分）合同的订立需要当事人各方平等协商，达成一致的意思表示。（2分）根据《民法典》的规定，当事人未采用书面形式，但一方已经履行主要义务，对方接受的，该合同也应当成立。（2分）本例中</w:t>
      </w:r>
      <w:r>
        <w:rPr>
          <w:rFonts w:hint="eastAsia" w:ascii="Times New Roman" w:hAnsi="Times New Roman" w:eastAsia="宋体" w:cs="Times New Roman"/>
          <w:color w:val="000000"/>
          <w:kern w:val="0"/>
          <w:sz w:val="21"/>
          <w:szCs w:val="21"/>
          <w:shd w:val="clear" w:color="auto" w:fill="FFFFFF"/>
          <w:lang w:val="en-US" w:eastAsia="zh-CN" w:bidi="ar"/>
        </w:rPr>
        <w:t>，</w:t>
      </w:r>
      <w:r>
        <w:rPr>
          <w:rFonts w:hint="default" w:ascii="Times New Roman" w:hAnsi="Times New Roman" w:eastAsia="宋体" w:cs="Times New Roman"/>
          <w:color w:val="000000"/>
          <w:kern w:val="0"/>
          <w:sz w:val="21"/>
          <w:szCs w:val="21"/>
          <w:shd w:val="clear" w:color="auto" w:fill="FFFFFF"/>
          <w:lang w:val="en-US" w:eastAsia="zh-CN" w:bidi="ar"/>
        </w:rPr>
        <w:t>虽双方未按约定签订书面合同</w:t>
      </w:r>
      <w:r>
        <w:rPr>
          <w:rFonts w:hint="eastAsia" w:ascii="Times New Roman" w:hAnsi="Times New Roman" w:eastAsia="宋体" w:cs="Times New Roman"/>
          <w:color w:val="000000"/>
          <w:kern w:val="0"/>
          <w:sz w:val="21"/>
          <w:szCs w:val="21"/>
          <w:shd w:val="clear" w:color="auto" w:fill="FFFFFF"/>
          <w:lang w:val="en-US" w:eastAsia="zh-CN" w:bidi="ar"/>
        </w:rPr>
        <w:t>，</w:t>
      </w:r>
      <w:r>
        <w:rPr>
          <w:rFonts w:hint="default" w:ascii="Times New Roman" w:hAnsi="Times New Roman" w:eastAsia="宋体" w:cs="Times New Roman"/>
          <w:color w:val="000000"/>
          <w:kern w:val="0"/>
          <w:sz w:val="21"/>
          <w:szCs w:val="21"/>
          <w:shd w:val="clear" w:color="auto" w:fill="FFFFFF"/>
          <w:lang w:val="en-US" w:eastAsia="zh-CN" w:bidi="ar"/>
        </w:rPr>
        <w:t>但B公司已实际履行合同义务</w:t>
      </w:r>
      <w:r>
        <w:rPr>
          <w:rFonts w:hint="eastAsia" w:ascii="Times New Roman" w:hAnsi="Times New Roman" w:eastAsia="宋体" w:cs="Times New Roman"/>
          <w:color w:val="000000"/>
          <w:kern w:val="0"/>
          <w:sz w:val="21"/>
          <w:szCs w:val="21"/>
          <w:shd w:val="clear" w:color="auto" w:fill="FFFFFF"/>
          <w:lang w:val="en-US" w:eastAsia="zh-CN" w:bidi="ar"/>
        </w:rPr>
        <w:t>，</w:t>
      </w:r>
      <w:r>
        <w:rPr>
          <w:rFonts w:hint="default" w:ascii="Times New Roman" w:hAnsi="Times New Roman" w:eastAsia="宋体" w:cs="Times New Roman"/>
          <w:color w:val="000000"/>
          <w:kern w:val="0"/>
          <w:sz w:val="21"/>
          <w:szCs w:val="21"/>
          <w:shd w:val="clear" w:color="auto" w:fill="FFFFFF"/>
          <w:lang w:val="en-US" w:eastAsia="zh-CN" w:bidi="ar"/>
        </w:rPr>
        <w:t>A学校亦接受了B公司发来的电脑</w:t>
      </w:r>
      <w:r>
        <w:rPr>
          <w:rFonts w:hint="eastAsia" w:ascii="Times New Roman" w:hAnsi="Times New Roman" w:eastAsia="宋体" w:cs="Times New Roman"/>
          <w:color w:val="000000"/>
          <w:kern w:val="0"/>
          <w:sz w:val="21"/>
          <w:szCs w:val="21"/>
          <w:shd w:val="clear" w:color="auto" w:fill="FFFFFF"/>
          <w:lang w:val="en-US" w:eastAsia="zh-CN" w:bidi="ar"/>
        </w:rPr>
        <w:t>，</w:t>
      </w:r>
      <w:r>
        <w:rPr>
          <w:rFonts w:hint="default" w:ascii="Times New Roman" w:hAnsi="Times New Roman" w:eastAsia="宋体" w:cs="Times New Roman"/>
          <w:color w:val="000000"/>
          <w:kern w:val="0"/>
          <w:sz w:val="21"/>
          <w:szCs w:val="21"/>
          <w:shd w:val="clear" w:color="auto" w:fill="FFFFFF"/>
          <w:lang w:val="en-US" w:eastAsia="zh-CN" w:bidi="ar"/>
        </w:rPr>
        <w:t>未及时提出异议，故合同成立。（2分）</w:t>
      </w:r>
    </w:p>
    <w:p w14:paraId="6A393778"/>
    <w:p w14:paraId="5A086979"/>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EBB76"/>
    <w:multiLevelType w:val="singleLevel"/>
    <w:tmpl w:val="8D7EBB76"/>
    <w:lvl w:ilvl="0" w:tentative="0">
      <w:start w:val="1"/>
      <w:numFmt w:val="chineseCounting"/>
      <w:suff w:val="nothing"/>
      <w:lvlText w:val="%1、"/>
      <w:lvlJc w:val="left"/>
      <w:rPr>
        <w:rFonts w:hint="eastAsia"/>
      </w:rPr>
    </w:lvl>
  </w:abstractNum>
  <w:abstractNum w:abstractNumId="1">
    <w:nsid w:val="951443C7"/>
    <w:multiLevelType w:val="singleLevel"/>
    <w:tmpl w:val="951443C7"/>
    <w:lvl w:ilvl="0" w:tentative="0">
      <w:start w:val="1"/>
      <w:numFmt w:val="upperLetter"/>
      <w:suff w:val="nothing"/>
      <w:lvlText w:val="%1．"/>
      <w:lvlJc w:val="left"/>
    </w:lvl>
  </w:abstractNum>
  <w:abstractNum w:abstractNumId="2">
    <w:nsid w:val="C17F6779"/>
    <w:multiLevelType w:val="singleLevel"/>
    <w:tmpl w:val="C17F6779"/>
    <w:lvl w:ilvl="0" w:tentative="0">
      <w:start w:val="1"/>
      <w:numFmt w:val="upperLetter"/>
      <w:suff w:val="nothing"/>
      <w:lvlText w:val="%1．"/>
      <w:lvlJc w:val="left"/>
    </w:lvl>
  </w:abstractNum>
  <w:abstractNum w:abstractNumId="3">
    <w:nsid w:val="E6A63035"/>
    <w:multiLevelType w:val="singleLevel"/>
    <w:tmpl w:val="E6A63035"/>
    <w:lvl w:ilvl="0" w:tentative="0">
      <w:start w:val="1"/>
      <w:numFmt w:val="decimal"/>
      <w:suff w:val="nothing"/>
      <w:lvlText w:val="%1．"/>
      <w:lvlJc w:val="left"/>
    </w:lvl>
  </w:abstractNum>
  <w:abstractNum w:abstractNumId="4">
    <w:nsid w:val="0BD816A6"/>
    <w:multiLevelType w:val="singleLevel"/>
    <w:tmpl w:val="0BD816A6"/>
    <w:lvl w:ilvl="0" w:tentative="0">
      <w:start w:val="1"/>
      <w:numFmt w:val="decimal"/>
      <w:lvlText w:val="%1."/>
      <w:lvlJc w:val="left"/>
      <w:pPr>
        <w:tabs>
          <w:tab w:val="left" w:pos="312"/>
        </w:tabs>
      </w:pPr>
    </w:lvl>
  </w:abstractNum>
  <w:abstractNum w:abstractNumId="5">
    <w:nsid w:val="1BAFC760"/>
    <w:multiLevelType w:val="singleLevel"/>
    <w:tmpl w:val="1BAFC760"/>
    <w:lvl w:ilvl="0" w:tentative="0">
      <w:start w:val="2"/>
      <w:numFmt w:val="decimal"/>
      <w:suff w:val="nothing"/>
      <w:lvlText w:val="（%1）"/>
      <w:lvlJc w:val="left"/>
    </w:lvl>
  </w:abstractNum>
  <w:abstractNum w:abstractNumId="6">
    <w:nsid w:val="2662CEA9"/>
    <w:multiLevelType w:val="singleLevel"/>
    <w:tmpl w:val="2662CEA9"/>
    <w:lvl w:ilvl="0" w:tentative="0">
      <w:start w:val="1"/>
      <w:numFmt w:val="upperLetter"/>
      <w:suff w:val="nothing"/>
      <w:lvlText w:val="%1．"/>
      <w:lvlJc w:val="left"/>
    </w:lvl>
  </w:abstractNum>
  <w:abstractNum w:abstractNumId="7">
    <w:nsid w:val="2DF1A257"/>
    <w:multiLevelType w:val="singleLevel"/>
    <w:tmpl w:val="2DF1A257"/>
    <w:lvl w:ilvl="0" w:tentative="0">
      <w:start w:val="13"/>
      <w:numFmt w:val="decimal"/>
      <w:suff w:val="nothing"/>
      <w:lvlText w:val="%1．"/>
      <w:lvlJc w:val="left"/>
    </w:lvl>
  </w:abstractNum>
  <w:abstractNum w:abstractNumId="8">
    <w:nsid w:val="3BD74BD9"/>
    <w:multiLevelType w:val="singleLevel"/>
    <w:tmpl w:val="3BD74BD9"/>
    <w:lvl w:ilvl="0" w:tentative="0">
      <w:start w:val="8"/>
      <w:numFmt w:val="decimal"/>
      <w:suff w:val="nothing"/>
      <w:lvlText w:val="%1．"/>
      <w:lvlJc w:val="left"/>
    </w:lvl>
  </w:abstractNum>
  <w:abstractNum w:abstractNumId="9">
    <w:nsid w:val="447D0EF0"/>
    <w:multiLevelType w:val="singleLevel"/>
    <w:tmpl w:val="447D0EF0"/>
    <w:lvl w:ilvl="0" w:tentative="0">
      <w:start w:val="1"/>
      <w:numFmt w:val="decimal"/>
      <w:suff w:val="nothing"/>
      <w:lvlText w:val="（%1）"/>
      <w:lvlJc w:val="left"/>
    </w:lvl>
  </w:abstractNum>
  <w:abstractNum w:abstractNumId="10">
    <w:nsid w:val="46664E61"/>
    <w:multiLevelType w:val="singleLevel"/>
    <w:tmpl w:val="46664E61"/>
    <w:lvl w:ilvl="0" w:tentative="0">
      <w:start w:val="1"/>
      <w:numFmt w:val="upperLetter"/>
      <w:suff w:val="nothing"/>
      <w:lvlText w:val="%1．"/>
      <w:lvlJc w:val="left"/>
    </w:lvl>
  </w:abstractNum>
  <w:abstractNum w:abstractNumId="11">
    <w:nsid w:val="4C11FA9C"/>
    <w:multiLevelType w:val="singleLevel"/>
    <w:tmpl w:val="4C11FA9C"/>
    <w:lvl w:ilvl="0" w:tentative="0">
      <w:start w:val="1"/>
      <w:numFmt w:val="upperLetter"/>
      <w:suff w:val="nothing"/>
      <w:lvlText w:val="%1．"/>
      <w:lvlJc w:val="left"/>
    </w:lvl>
  </w:abstractNum>
  <w:abstractNum w:abstractNumId="12">
    <w:nsid w:val="4F7B2800"/>
    <w:multiLevelType w:val="singleLevel"/>
    <w:tmpl w:val="4F7B2800"/>
    <w:lvl w:ilvl="0" w:tentative="0">
      <w:start w:val="1"/>
      <w:numFmt w:val="upperLetter"/>
      <w:suff w:val="nothing"/>
      <w:lvlText w:val="%1．"/>
      <w:lvlJc w:val="left"/>
    </w:lvl>
  </w:abstractNum>
  <w:abstractNum w:abstractNumId="13">
    <w:nsid w:val="63265CB5"/>
    <w:multiLevelType w:val="singleLevel"/>
    <w:tmpl w:val="63265CB5"/>
    <w:lvl w:ilvl="0" w:tentative="0">
      <w:start w:val="1"/>
      <w:numFmt w:val="upperLetter"/>
      <w:suff w:val="nothing"/>
      <w:lvlText w:val="%1．"/>
      <w:lvlJc w:val="left"/>
    </w:lvl>
  </w:abstractNum>
  <w:abstractNum w:abstractNumId="14">
    <w:nsid w:val="65C6C781"/>
    <w:multiLevelType w:val="singleLevel"/>
    <w:tmpl w:val="65C6C781"/>
    <w:lvl w:ilvl="0" w:tentative="0">
      <w:start w:val="16"/>
      <w:numFmt w:val="decimal"/>
      <w:suff w:val="nothing"/>
      <w:lvlText w:val="%1．"/>
      <w:lvlJc w:val="left"/>
    </w:lvl>
  </w:abstractNum>
  <w:abstractNum w:abstractNumId="15">
    <w:nsid w:val="6712234E"/>
    <w:multiLevelType w:val="singleLevel"/>
    <w:tmpl w:val="6712234E"/>
    <w:lvl w:ilvl="0" w:tentative="0">
      <w:start w:val="1"/>
      <w:numFmt w:val="upperLetter"/>
      <w:suff w:val="nothing"/>
      <w:lvlText w:val="%1．"/>
      <w:lvlJc w:val="left"/>
    </w:lvl>
  </w:abstractNum>
  <w:abstractNum w:abstractNumId="16">
    <w:nsid w:val="6C9376B4"/>
    <w:multiLevelType w:val="singleLevel"/>
    <w:tmpl w:val="6C9376B4"/>
    <w:lvl w:ilvl="0" w:tentative="0">
      <w:start w:val="1"/>
      <w:numFmt w:val="upperLetter"/>
      <w:suff w:val="nothing"/>
      <w:lvlText w:val="%1．"/>
      <w:lvlJc w:val="left"/>
    </w:lvl>
  </w:abstractNum>
  <w:abstractNum w:abstractNumId="17">
    <w:nsid w:val="6D2BFEF3"/>
    <w:multiLevelType w:val="singleLevel"/>
    <w:tmpl w:val="6D2BFEF3"/>
    <w:lvl w:ilvl="0" w:tentative="0">
      <w:start w:val="1"/>
      <w:numFmt w:val="upperLetter"/>
      <w:suff w:val="nothing"/>
      <w:lvlText w:val="%1．"/>
      <w:lvlJc w:val="left"/>
    </w:lvl>
  </w:abstractNum>
  <w:abstractNum w:abstractNumId="18">
    <w:nsid w:val="76E31922"/>
    <w:multiLevelType w:val="singleLevel"/>
    <w:tmpl w:val="76E31922"/>
    <w:lvl w:ilvl="0" w:tentative="0">
      <w:start w:val="1"/>
      <w:numFmt w:val="upperLetter"/>
      <w:suff w:val="nothing"/>
      <w:lvlText w:val="%1．"/>
      <w:lvlJc w:val="left"/>
    </w:lvl>
  </w:abstractNum>
  <w:num w:numId="1">
    <w:abstractNumId w:val="0"/>
  </w:num>
  <w:num w:numId="2">
    <w:abstractNumId w:val="3"/>
  </w:num>
  <w:num w:numId="3">
    <w:abstractNumId w:val="15"/>
  </w:num>
  <w:num w:numId="4">
    <w:abstractNumId w:val="2"/>
  </w:num>
  <w:num w:numId="5">
    <w:abstractNumId w:val="13"/>
  </w:num>
  <w:num w:numId="6">
    <w:abstractNumId w:val="8"/>
  </w:num>
  <w:num w:numId="7">
    <w:abstractNumId w:val="10"/>
  </w:num>
  <w:num w:numId="8">
    <w:abstractNumId w:val="12"/>
  </w:num>
  <w:num w:numId="9">
    <w:abstractNumId w:val="1"/>
  </w:num>
  <w:num w:numId="10">
    <w:abstractNumId w:val="16"/>
  </w:num>
  <w:num w:numId="11">
    <w:abstractNumId w:val="11"/>
  </w:num>
  <w:num w:numId="12">
    <w:abstractNumId w:val="7"/>
  </w:num>
  <w:num w:numId="13">
    <w:abstractNumId w:val="17"/>
  </w:num>
  <w:num w:numId="14">
    <w:abstractNumId w:val="6"/>
  </w:num>
  <w:num w:numId="15">
    <w:abstractNumId w:val="18"/>
  </w:num>
  <w:num w:numId="16">
    <w:abstractNumId w:val="14"/>
  </w:num>
  <w:num w:numId="17">
    <w:abstractNumId w:val="9"/>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000000"/>
    <w:rsid w:val="004151FC"/>
    <w:rsid w:val="00C02FC6"/>
    <w:rsid w:val="2BF6543A"/>
    <w:rsid w:val="5852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9</Pages>
  <Words>4994</Words>
  <Characters>5085</Characters>
  <DocSecurity>0</DocSecurity>
  <Lines>0</Lines>
  <Paragraphs>0</Paragraphs>
  <ScaleCrop>false</ScaleCrop>
  <LinksUpToDate>false</LinksUpToDate>
  <CharactersWithSpaces>5455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2024-11-08T11:12:00Z</dcterms:created>
  <dcterms:modified xsi:type="dcterms:W3CDTF">2024-11-10T14:34:22Z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2052-12.1.0.18608</vt:lpwstr>
  </property>
  <property fmtid="{D5CDD505-2E9C-101B-9397-08002B2CF9AE}" pid="7" name="ICV">
    <vt:lpwstr>CA952BABCAD74204B4962DDCC222F57C_12</vt:lpwstr>
  </property>
</Properties>
</file>