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360" w:lineRule="auto"/>
        <w:jc w:val="center"/>
        <w:rPr>
          <w:rFonts w:ascii="Times New Roman" w:hAnsi="Times New Roman" w:cs="Times New Roman" w:hint="default"/>
          <w:b/>
          <w:bCs/>
          <w:sz w:val="44"/>
          <w:szCs w:val="44"/>
        </w:rPr>
      </w:pPr>
      <w:r>
        <w:rPr>
          <w:rFonts w:ascii="Times New Roman" w:hAnsi="Times New Roman" w:cs="Times New Roman" w:hint="default"/>
          <w:b/>
          <w:bCs/>
          <w:sz w:val="44"/>
          <w:szCs w:val="44"/>
        </w:rPr>
        <w:drawing>
          <wp:anchor simplePos="0" relativeHeight="251658240" behindDoc="0" locked="0" layoutInCell="1" allowOverlap="1">
            <wp:simplePos x="0" y="0"/>
            <wp:positionH relativeFrom="page">
              <wp:posOffset>10528300</wp:posOffset>
            </wp:positionH>
            <wp:positionV relativeFrom="topMargin">
              <wp:posOffset>10553700</wp:posOffset>
            </wp:positionV>
            <wp:extent cx="495300" cy="495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495300" cy="495300"/>
                    </a:xfrm>
                    <a:prstGeom prst="rect">
                      <a:avLst/>
                    </a:prstGeom>
                  </pic:spPr>
                </pic:pic>
              </a:graphicData>
            </a:graphic>
          </wp:anchor>
        </w:drawing>
      </w:r>
      <w:r>
        <w:rPr>
          <w:rFonts w:ascii="Times New Roman" w:hAnsi="Times New Roman" w:cs="Times New Roman" w:hint="default"/>
          <w:b/>
          <w:bCs/>
          <w:sz w:val="44"/>
          <w:szCs w:val="44"/>
        </w:rPr>
        <w:t>2024年秋季高一捡测卷</w:t>
      </w:r>
    </w:p>
    <w:p>
      <w:pPr>
        <w:spacing w:line="360" w:lineRule="auto"/>
        <w:jc w:val="center"/>
        <w:rPr>
          <w:rFonts w:ascii="Times New Roman" w:hAnsi="Times New Roman" w:cs="Times New Roman" w:hint="default"/>
          <w:b/>
          <w:bCs/>
          <w:sz w:val="44"/>
          <w:szCs w:val="44"/>
        </w:rPr>
      </w:pPr>
      <w:r>
        <w:rPr>
          <w:rFonts w:ascii="Times New Roman" w:hAnsi="Times New Roman" w:cs="Times New Roman" w:hint="default"/>
          <w:b/>
          <w:bCs/>
          <w:sz w:val="44"/>
          <w:szCs w:val="44"/>
        </w:rPr>
        <w:t>思想政治</w:t>
      </w:r>
    </w:p>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时量:75分钟满分:100分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第Ⅰ卷选择题(共48分)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一、选择题(本大题共16小题,每小题3分﹐共48分。在每小题给出的四个选项中,只有一项符合题目要求)</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l.当今世界,无论是农业还是工业产品,但凡是人类生活所涉及的必需品(非私人订制的奢侈品和服务),生产效率都早已达到了相当的高度,满足全世界人口的使用早已不成问题。由于高度的自动化,生产上述产品所需要的全部劳动力已经远远小于人类的适宜劳动人口。从这个意义上说,当今发达经济体中不断发生的过剩,就是绝对意义上的过剩。但是,世界范围内还存在大量绝对贫困的情况。下列选项对此理解正确的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①从相对过剩到绝对过剩,资本主义经济危机将有新表现</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②发达经济体内部的绝对过剩并不具备人类社会普遍意义</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w:t>
      </w:r>
      <w:r>
        <w:rPr>
          <w:rFonts w:ascii="Times New Roman" w:hAnsi="Times New Roman" w:cs="Times New Roman" w:hint="default"/>
          <w:sz w:val="24"/>
          <w:szCs w:val="24"/>
        </w:rPr>
        <w:t>生产效率的极大提高使得人类社会发生质变具备可能性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④马克思有效需求不足理论在世界范围内仍具有理论价值</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A. ①③         B. ①④         C. ②③            D. ②④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2.1848年2月，《共产党宣言》发表,标志着科学社会主义的诞生。科学社会主义的诞生,为无产阶级革命指明了方向。科学社会主义之所以是科学的,是因为</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①空想社会主义从理性出发,主张阶级调和,没有找到社会变革的正确途径</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②揭示了人类社会发展的一般规律和资本主义社会运行的特殊规律</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③立足社会实践,在批判继承前人理论基础上进行正确理论创新</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④对资本主义社会进行了批判,对未来社会进行了描绘</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A. ①②         B. ①④         C. ②③           D. ③④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长期以来,党内关于中国道路的争论，一直存在着两种错误的认识:一是将民主革命和社会主义革命互相割裂的“二次革命论”,在两个革命阶段中间横插一个资产阶级专政,放弃党在民主革命时期的领导权;二是将两个革命阶段混为一谈、空想毕其功于一役的“一次革命论”。这些错误的言论都在中国革命历史的不同时期给党造成了严重的损失。因此,中国共产党找到中国革命正确道路需要</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①正确认识民主革命和社会主义革命之间的关系,为革命实践指明方向</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②掌握自始至终的领导权,建立无产阶级领导下的各革命阶级联合专政</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③将两个革命阶段相互衔接,为民主革命胜利后直接进入社会主义社会作好必要准备</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④始终从中国的基本国情出发,用国情的变化统领中国革命的变化</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A. ①②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 ①④</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②③        D. ③④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4.下列选项能够有力证明“只有社会主义才能救中国”的是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①马克思主义是科学的理论,创造性地揭示了人类社会发展规律</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②在马克思主义指导下,中国共产党取得了中国革命的伟大胜利</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③社会主义制度确立后,我国社会发生了翻天覆地的变化</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④中华民族迎来了从站起来、富起来到强起来的伟大飞跃</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A. ①③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 ①④</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②③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②</w:t>
      </w:r>
      <w:r>
        <w:rPr>
          <w:rFonts w:ascii="Times New Roman" w:hAnsi="Times New Roman" w:cs="Times New Roman" w:hint="default"/>
          <w:sz w:val="24"/>
          <w:szCs w:val="24"/>
        </w:rPr>
        <w:drawing>
          <wp:inline distT="0" distB="0" distL="0" distR="0">
            <wp:extent cx="152400" cy="135890"/>
            <wp:effectExtent l="0" t="0" r="0" b="127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xmlns:r="http://schemas.openxmlformats.org/officeDocument/2006/relationships" r:embed="rId5"/>
                    <a:stretch>
                      <a:fillRect/>
                    </a:stretch>
                  </pic:blipFill>
                  <pic:spPr>
                    <a:xfrm>
                      <a:off x="0" y="0"/>
                      <a:ext cx="152810" cy="135902"/>
                    </a:xfrm>
                    <a:prstGeom prst="rect">
                      <a:avLst/>
                    </a:prstGeom>
                  </pic:spPr>
                </pic:pic>
              </a:graphicData>
            </a:graphic>
          </wp:inline>
        </w:drawing>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5.1982年9月,邓小平同志在陪同外国政要去四川访问途中,对于传统的经济模式连发疑问:“国家这么大,这么穷,不努力发展生产,日子怎么过?”“我们人民的生活如此困难,怎么体现出社会主义的优越性?”“社会主义必须大力发展生产力,逐步消灭贫穷,不断提高人民的生活水平。”……由此可以看出</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①大力发展生产力是走出困境的关键②党的领导人认识到了改革的紧迫性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③对于推进改革全党上下已经达成共识④战胜资本主义是国家面对的核心任务A. ①②       B. ①④       C. ②③         D. ③④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6.改革开放以来,中国共产党坚持把马克思主义基本原理同当代中国实际和时代特点相结合,不断推进理论创新、实践创新、制度创新,成功开创、坚持和发展了中国特色社会主义。下列对应关系正确的是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①邓小平同志为代表的中国共产党人</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创立邓小平理论—-确立社会主义初级阶段基本路线</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开创了中国特色社会主义</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②江泽民同志为代表的中国共产党人</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创立“三个代表”重要思想强调“改革是中国的第二次革命”</w:t>
      </w:r>
      <w:r>
        <w:rPr>
          <w:rFonts w:ascii="Times New Roman" w:hAnsi="Times New Roman" w:cs="Times New Roman" w:hint="eastAsia"/>
          <w:sz w:val="24"/>
          <w:szCs w:val="24"/>
          <w:lang w:eastAsia="zh-CN"/>
        </w:rPr>
        <w:t>——</w:t>
      </w:r>
      <w:r>
        <w:rPr>
          <w:rFonts w:ascii="Times New Roman" w:hAnsi="Times New Roman" w:cs="Times New Roman" w:hint="default"/>
          <w:sz w:val="24"/>
          <w:szCs w:val="24"/>
        </w:rPr>
        <w:t>成功把中国特色社会主义推向二十一世纪</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③胡锦涛同志为代表的中国共产党人</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创立科学发展观</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回答新形势下实现什么样的发展、怎样发展</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在新形势下坚持和发展了中国特色社会主义</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④习近平同志为代表的中国共产党人</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创立习近平新时代中国特色社会主义思想</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强调坚持以人为本——中国特色社会主义进入新时代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A. ①③        B. ①④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②③       D. ②④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7.下表反映了中国共产党对不同时期社会主要矛盾和主要任务等方面的认识。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drawing>
          <wp:inline distT="0" distB="0" distL="114300" distR="114300">
            <wp:extent cx="5272405" cy="5091430"/>
            <wp:effectExtent l="0" t="0" r="635"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6"/>
                    <a:stretch>
                      <a:fillRect/>
                    </a:stretch>
                  </pic:blipFill>
                  <pic:spPr>
                    <a:xfrm>
                      <a:off x="0" y="0"/>
                      <a:ext cx="5272405" cy="5091430"/>
                    </a:xfrm>
                    <a:prstGeom prst="rect">
                      <a:avLst/>
                    </a:prstGeom>
                    <a:noFill/>
                    <a:ln>
                      <a:noFill/>
                    </a:ln>
                  </pic:spPr>
                </pic:pic>
              </a:graphicData>
            </a:graphic>
          </wp:inline>
        </w:drawing>
      </w:r>
      <w:r>
        <w:rPr>
          <w:rFonts w:ascii="Times New Roman" w:hAnsi="Times New Roman" w:cs="Times New Roman" w:hint="default"/>
          <w:sz w:val="24"/>
          <w:szCs w:val="24"/>
        </w:rPr>
        <w:t>基于此表中的信息,下列选项中的说法正确的是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①能否正确认识社会主要矛盾,关系到党和国家的前途命运</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②时代是思想之母,时代变迁推动中国共产党不断理论创新</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③我国社会的主要矛盾,是社会发展的最终决定力量</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④社会主义社会主要矛盾概括应关注人民群众的需求</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A. ①②          B. ①④       C. ②③          D. ③④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8.新时代中国特色社会主义是中国共产党领导人民进行伟大社会革命的成果,也是党领导人民进行伟大社会革命的继续,必须一以贯之进行下去。这就需要</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①回看走过的路</w:t>
      </w:r>
      <w:r>
        <w:rPr>
          <w:rFonts w:ascii="Times New Roman" w:hAnsi="Times New Roman" w:cs="Times New Roman" w:hint="eastAsia"/>
          <w:sz w:val="24"/>
          <w:szCs w:val="24"/>
          <w:lang w:eastAsia="zh-CN"/>
        </w:rPr>
        <w:t>——</w:t>
      </w:r>
      <w:r>
        <w:rPr>
          <w:rFonts w:ascii="Times New Roman" w:hAnsi="Times New Roman" w:cs="Times New Roman" w:hint="default"/>
          <w:sz w:val="24"/>
          <w:szCs w:val="24"/>
        </w:rPr>
        <w:t>从对人类社会发展进程的科学把握中坚定道路自信</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②比较别人的路</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同其他国家发展模式的多样性比较中坚定文化自信</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③奋斗现在的路</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在大有可为的历史机遇中锐意进取、埋头苦干</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④远眺前行的路</w:t>
      </w:r>
      <w:r>
        <w:rPr>
          <w:rFonts w:ascii="Times New Roman" w:hAnsi="Times New Roman" w:cs="Times New Roman" w:hint="eastAsia"/>
          <w:sz w:val="24"/>
          <w:szCs w:val="24"/>
          <w:lang w:eastAsia="zh-CN"/>
        </w:rPr>
        <w:t>——</w:t>
      </w:r>
      <w:r>
        <w:rPr>
          <w:rFonts w:ascii="Times New Roman" w:hAnsi="Times New Roman" w:cs="Times New Roman" w:hint="default"/>
          <w:sz w:val="24"/>
          <w:szCs w:val="24"/>
        </w:rPr>
        <w:t>以中国特色社会主义伟大工程推动中国梦实现</w:t>
      </w:r>
    </w:p>
    <w:p>
      <w:pPr>
        <w:numPr>
          <w:ilvl w:val="0"/>
          <w:numId w:val="1"/>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①②        B. ①③      C. ②④         D. ③④</w:t>
      </w:r>
    </w:p>
    <w:p>
      <w:pPr>
        <w:numPr>
          <w:ilvl w:val="0"/>
          <w:numId w:val="2"/>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发展新质生产力是推动高质量发展的内在要求和重要着力点。作为中国特色社会主义经济的“顶梁柱”,国资国企不断强化创新策源,加快推动传统产业优化升级和战略性新兴产业、未来产业发展,以更大力度把改革向纵深推进,在高质量发展的道路上迈出坚实步伐。材料说明,国有企业</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①在战略性新兴和未来产业中占支配地位</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②发展重心由传统产业完全转向新兴产业</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③是推动新质生产力发展的关键性力量</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④将自身发展与国家发展战略积极融合</w:t>
      </w:r>
    </w:p>
    <w:p>
      <w:pPr>
        <w:numPr>
          <w:ilvl w:val="0"/>
          <w:numId w:val="3"/>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①②      B. ①③        C. ②④       D. ③④</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10.2024年11月1日,《外商投资准入特别管理措施(负面清单)(2024年欣)》开如头行。该清单删除了“出版物印刷须由中方控股”"禁止投资中药饮片的蒸、炒、炙、嫩等炮制技术的应用及中成药保密处方产品的生产”条目,制造业领域外资准入限制措施全面取消。这意味着</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①我国利用外资的质量和结构均会得到明显改善</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②在制造业的准入环节,内外资将享受同等待遇</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③非公有制经济发展所面临的束缚将进一步减少</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④我国营商环境优化,将吸引更多优质外资来华</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A. ①③     B. ①④         C. ②③         D. ②④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11.2012年到2023年,进人世界500强的国企从65家增长到97家﹐民企从6家增长到36家;国企营业总收入从423 769.6亿元增长到857 306.1亿元;民企占全因企业总量从79.4%提高至92.3%,达5300余万户,个体工商户由4000余万户增加</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至1.24亿户。国企引领带动民企协同发展成效显著,不断丰富国企顶天立地、民企铺天盖地的企业发展格局。从材料中可知</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①国企和民企在社会主义市场经济中地位重要,作用相同</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②二者协同发展成效显著得益于“两个毫不动摇”的政策</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③国企和民企的竞争力均得到较大提升</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④应增加国企数量,实现量、质双占优</w:t>
      </w:r>
    </w:p>
    <w:p>
      <w:pPr>
        <w:numPr>
          <w:ilvl w:val="0"/>
          <w:numId w:val="4"/>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①②         B. ①④      C. ②③         D. ③④</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12.为解决新型农业经营主体资产认定难、融资难等问题,某地聚焦“确权、赋权、活权”:确权登记,明晰土地流转经营权和农业设施所有权的产权归属;赋权于民,通过对“两权”进行登记管理,让农业经营主体拥有了属于自己的农业“资产证明”;活权增效,鼓励金融机构突破传统农业物权概念、传统抵押物范围和传统农业担保贷款模式,将“两权”纳入抵押物范围开展贷款业务﹐为经营主体提供便捷、高效的融资服务。该地的做法</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①有利于盘活农村大量闲置资源,加速农村要素资源流动</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②有利于解决农村经营主体融资难等问题,增加农民收益</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③是对农村基本经营制度的根本性变革</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④是金融服务制造业的创新、有益探索</w:t>
      </w:r>
    </w:p>
    <w:p>
      <w:pPr>
        <w:numPr>
          <w:ilvl w:val="0"/>
          <w:numId w:val="5"/>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①②        B. ①③            C. ②④            D. ③④ </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13.据国家邮政局数据,2024年预计将有1425亿件快递被妥善配送,每天有3亿—5</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亿件快递包裹被揽收,其中超1亿件快递包裹在农村地区流动。河南光山县的羽绒服借助快递走出大别山,陕西周至县的猕猴桃借助快递走出关中,新疆的雪蟹、西藏的肉干借助快递走出冰川和高原……物流“快跑”不仅创造了平凡生活的人间奇迹,也成为激发消费潜力、提升消费体验、扩大消费市场的重要力量。物流“快跑”</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①得益于市场对资源的高效配置②离不开市场基础制度规则统一</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③有利于改善生活,完成共同富裕④有利于扩大内需,助力国内循环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A. ①②        B. ①④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②③         D. ③④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14.2024年“3·15”晚会聚焦“共筑诚信共享安全”主题,关注消防安全、食品安全、金融安全、数据安全等领域。晚会曝光了网络水军利用主板机随意更改IP逃避监管、喝了能“回春”的听花酒、梅菜扣肉的原料竟是劣质槽头肉、灭不了火的灭火器、假防火玻璃等触目惊心的市场乱象,让我们进一步体会到了依法整治假冒伪劣产品、整治欺诈行为,持续推动创建放心市场的重要性。上述市场乱象</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①是市场调节具有局限性的真实体现②说明非公有制经济具有先天局限性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③需要政府加强监管,规范市场秩序④需要企业关注市场需求,保证收益</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A. ①③       B. ①④</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C. ②③      D. ②④</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15.近年来,中国人民银行持续加强科技金融服务工作。截至2024年3月末,高技术制造业中长期贷款、科技型中小企业贷款、“专精特新”企业贷款分别同比增长27.3%、20.4%、17.9%,明显高于各项贷款增速;科技型中小企业获贷率达到46.5%,较2017年末提升2倍;科创票据累计发行达5600亿元。根据材料,中国人民银行做好科技金融服务工作所产生的积极影响传导正确的是</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①降低银行利率</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减轻企业负担</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增强科技创新能力</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②增加信贷投放</w:t>
      </w:r>
      <w:r>
        <w:rPr>
          <w:rFonts w:ascii="Times New Roman" w:hAnsi="Times New Roman" w:cs="Times New Roman" w:hint="eastAsia"/>
          <w:sz w:val="24"/>
          <w:szCs w:val="24"/>
          <w:lang w:eastAsia="zh-CN"/>
        </w:rPr>
        <w:t>——</w:t>
      </w:r>
      <w:r>
        <w:rPr>
          <w:rFonts w:ascii="Times New Roman" w:hAnsi="Times New Roman" w:cs="Times New Roman" w:hint="default"/>
          <w:sz w:val="24"/>
          <w:szCs w:val="24"/>
        </w:rPr>
        <w:t>推动科技创新</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加快发展新质生产力</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③实施定向降准</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实现精准服务——推动企业高质量发展</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④加大资源倾斜</w:t>
      </w:r>
      <w:r>
        <w:rPr>
          <w:rFonts w:ascii="Times New Roman" w:hAnsi="Times New Roman" w:cs="Times New Roman" w:hint="eastAsia"/>
          <w:sz w:val="24"/>
          <w:szCs w:val="24"/>
          <w:lang w:eastAsia="zh-CN"/>
        </w:rPr>
        <w:t>——</w:t>
      </w:r>
      <w:r>
        <w:rPr>
          <w:rFonts w:ascii="Times New Roman" w:hAnsi="Times New Roman" w:cs="Times New Roman" w:hint="default"/>
          <w:sz w:val="24"/>
          <w:szCs w:val="24"/>
        </w:rPr>
        <w:t>服务实体经济</w:t>
      </w:r>
      <w:r>
        <w:rPr>
          <w:rFonts w:ascii="Times New Roman" w:hAnsi="Times New Roman" w:cs="Times New Roman" w:hint="eastAsia"/>
          <w:sz w:val="24"/>
          <w:szCs w:val="24"/>
          <w:lang w:eastAsia="zh-CN"/>
        </w:rPr>
        <w:t>——</w:t>
      </w:r>
      <w:r>
        <w:rPr>
          <w:rFonts w:ascii="Times New Roman" w:hAnsi="Times New Roman" w:cs="Times New Roman" w:hint="default"/>
          <w:sz w:val="24"/>
          <w:szCs w:val="24"/>
        </w:rPr>
        <w:t>助力高水平科技自立自强</w:t>
      </w:r>
    </w:p>
    <w:p>
      <w:pPr>
        <w:numPr>
          <w:ilvl w:val="0"/>
          <w:numId w:val="6"/>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①②          B. ①③         C. ②④         D. ③④ </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16.低空经济是一种新型的经济形态,依托于低空空域并以各种有人驾驶和无人驾驶航空器的飞行活动为核心,辐射并带动相关领域的融合发展。下图为低空经济产业链结构:</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drawing>
          <wp:inline distT="0" distB="0" distL="114300" distR="114300">
            <wp:extent cx="5269230" cy="2800985"/>
            <wp:effectExtent l="0" t="0" r="381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7"/>
                    <a:stretch>
                      <a:fillRect/>
                    </a:stretch>
                  </pic:blipFill>
                  <pic:spPr>
                    <a:xfrm>
                      <a:off x="0" y="0"/>
                      <a:ext cx="5269230" cy="2800985"/>
                    </a:xfrm>
                    <a:prstGeom prst="rect">
                      <a:avLst/>
                    </a:prstGeom>
                    <a:noFill/>
                    <a:ln>
                      <a:noFill/>
                    </a:ln>
                  </pic:spPr>
                </pic:pic>
              </a:graphicData>
            </a:graphic>
          </wp:inline>
        </w:drawing>
      </w:r>
      <w:r>
        <w:rPr>
          <w:rFonts w:ascii="Times New Roman" w:hAnsi="Times New Roman" w:cs="Times New Roman" w:hint="default"/>
          <w:sz w:val="24"/>
          <w:szCs w:val="24"/>
        </w:rPr>
        <w:t>构建低空经济完整产业链,需要政府</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①实施积极的财政政策,加大对相关产业的贷款投入力度</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②统筹产业链上下游协同发展,集中力量突破重难点问题</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③维护市场竞争秩序,决定相关企业的产业布局</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④降低企业的税费负担,刺激企业增加研发投入</w:t>
      </w:r>
    </w:p>
    <w:p>
      <w:pPr>
        <w:numPr>
          <w:ilvl w:val="0"/>
          <w:numId w:val="7"/>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①③         B. ①④          C. ②③         D. ②④</w:t>
      </w:r>
    </w:p>
    <w:p>
      <w:pPr>
        <w:numPr>
          <w:numId w:val="0"/>
        </w:num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第Ⅱ卷非选择题(共52分)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二、非选择题(本大题共4小题,共52分)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17.阅读材料,完成下列要求。(12分)</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党的十八大以来,从中央全面深化改革领导小组,到中央全面深化改革委员会,习近平总书记主持召开72次重要会议,锚定全面深化改革总目标进行顶层设计,将新时代改革开放进行到底。</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【求变的框架图】</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为什么要“变”?回看全面建成小康社会的奋斗历程,防范化解重大风险、精准脱贫、污染防治这三大攻坚战,就是发现问题、主动求变的例证。从长江到蓝天,从扶贫到振兴,过去10多年间,改变就发生在我们身边。而这些改变的出发点,都是绝大多数人的利益。</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【求变的方向感】</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转型”是72次重要会议提及次数最多的动词。怎么转,往哪儿转?答案就是高质量发展。绿色是高质量发展的底色。中国的绿色转型,不只是保护环境,更是科技创新带来的所有产业的全链条的根本性改变,是中国整个现代化产业体系的高质量生长。</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【求变的坐标系】</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世界经济复苏乏力、“逆全球化”思潮兴起、局部冲突和动荡频发……如何适应外部环境的变化,求变的中国如何和世界打交道?习近平总书记给出了正确的判断:以开放促改革、促发展。随着共建“一带一路”倡议的推进,全国都在推进开放的同时,也在催生新的改革,重塑中国不同区域的格局,也为世界提供着更多改变的可能性。</w:t>
      </w:r>
    </w:p>
    <w:p>
      <w:pPr>
        <w:spacing w:line="360"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结合材料,运用《中国特色社会主义》的相关知识,说明中国共产党将改革开放进行到底的原因。(12分)</w:t>
      </w:r>
    </w:p>
    <w:p>
      <w:pPr>
        <w:spacing w:line="360" w:lineRule="auto"/>
        <w:rPr>
          <w:rFonts w:ascii="Times New Roman" w:hAnsi="Times New Roman" w:cs="Times New Roman" w:hint="default"/>
          <w:sz w:val="24"/>
          <w:szCs w:val="24"/>
        </w:rPr>
      </w:pPr>
    </w:p>
    <w:p>
      <w:pPr>
        <w:spacing w:line="360" w:lineRule="auto"/>
        <w:rPr>
          <w:rFonts w:ascii="Times New Roman" w:hAnsi="Times New Roman" w:cs="Times New Roman" w:hint="default"/>
          <w:sz w:val="24"/>
          <w:szCs w:val="24"/>
        </w:rPr>
      </w:pPr>
    </w:p>
    <w:p>
      <w:pPr>
        <w:spacing w:line="360" w:lineRule="auto"/>
        <w:rPr>
          <w:rFonts w:ascii="Times New Roman" w:hAnsi="Times New Roman" w:cs="Times New Roman" w:hint="default"/>
          <w:sz w:val="24"/>
          <w:szCs w:val="24"/>
        </w:rPr>
      </w:pP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18.阅读材料,完成下列要求。(18分)</w:t>
      </w:r>
    </w:p>
    <w:p>
      <w:pPr>
        <w:spacing w:line="360" w:lineRule="auto"/>
        <w:rPr>
          <w:rFonts w:ascii="楷体" w:eastAsia="楷体" w:hAnsi="楷体" w:cs="楷体" w:hint="eastAsia"/>
          <w:sz w:val="24"/>
          <w:szCs w:val="24"/>
        </w:rPr>
      </w:pPr>
      <w:r>
        <w:rPr>
          <w:rFonts w:ascii="楷体" w:eastAsia="楷体" w:hAnsi="楷体" w:cs="楷体" w:hint="eastAsia"/>
          <w:sz w:val="24"/>
          <w:szCs w:val="24"/>
        </w:rPr>
        <w:t>材料一</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按注册登记类型划分企业法人单位数</w:t>
      </w:r>
    </w:p>
    <w:p>
      <w:pPr>
        <w:spacing w:line="360" w:lineRule="auto"/>
        <w:rPr>
          <w:rFonts w:ascii="楷体" w:eastAsia="楷体" w:hAnsi="楷体" w:cs="楷体" w:hint="eastAsia"/>
          <w:sz w:val="24"/>
          <w:szCs w:val="24"/>
        </w:rPr>
      </w:pPr>
      <w:r>
        <w:rPr>
          <w:rFonts w:ascii="楷体" w:eastAsia="楷体" w:hAnsi="楷体" w:cs="楷体" w:hint="eastAsia"/>
          <w:sz w:val="24"/>
          <w:szCs w:val="24"/>
        </w:rPr>
        <w:drawing>
          <wp:inline distT="0" distB="0" distL="114300" distR="114300">
            <wp:extent cx="5273675" cy="971550"/>
            <wp:effectExtent l="0" t="0" r="1460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xmlns:r="http://schemas.openxmlformats.org/officeDocument/2006/relationships" r:embed="rId8"/>
                    <a:stretch>
                      <a:fillRect/>
                    </a:stretch>
                  </pic:blipFill>
                  <pic:spPr>
                    <a:xfrm>
                      <a:off x="0" y="0"/>
                      <a:ext cx="5273675" cy="971550"/>
                    </a:xfrm>
                    <a:prstGeom prst="rect">
                      <a:avLst/>
                    </a:prstGeom>
                    <a:noFill/>
                    <a:ln>
                      <a:noFill/>
                    </a:ln>
                  </pic:spPr>
                </pic:pic>
              </a:graphicData>
            </a:graphic>
          </wp:inline>
        </w:drawing>
      </w:r>
      <w:r>
        <w:rPr>
          <w:rFonts w:ascii="楷体" w:eastAsia="楷体" w:hAnsi="楷体" w:cs="楷体" w:hint="eastAsia"/>
          <w:sz w:val="24"/>
          <w:szCs w:val="24"/>
        </w:rPr>
        <w:t>说明:数据来源于国家统计局年度统计数据,其中缺少2018年、2023年数据。</w:t>
      </w:r>
    </w:p>
    <w:p>
      <w:pPr>
        <w:spacing w:line="360" w:lineRule="auto"/>
        <w:rPr>
          <w:rFonts w:ascii="楷体" w:eastAsia="楷体" w:hAnsi="楷体" w:cs="楷体" w:hint="eastAsia"/>
          <w:sz w:val="24"/>
          <w:szCs w:val="24"/>
        </w:rPr>
      </w:pPr>
      <w:r>
        <w:rPr>
          <w:rFonts w:ascii="楷体" w:eastAsia="楷体" w:hAnsi="楷体" w:cs="楷体" w:hint="eastAsia"/>
          <w:sz w:val="24"/>
          <w:szCs w:val="24"/>
        </w:rPr>
        <w:t>材料二</w:t>
      </w:r>
      <w:r>
        <w:rPr>
          <w:rFonts w:ascii="楷体" w:eastAsia="楷体" w:hAnsi="楷体" w:cs="楷体" w:hint="eastAsia"/>
          <w:sz w:val="24"/>
          <w:szCs w:val="24"/>
          <w:lang w:val="en-US" w:eastAsia="zh-CN"/>
        </w:rPr>
        <w:t xml:space="preserve">  </w:t>
      </w:r>
      <w:r>
        <w:rPr>
          <w:rFonts w:ascii="楷体" w:eastAsia="楷体" w:hAnsi="楷体" w:cs="楷体" w:hint="eastAsia"/>
          <w:sz w:val="24"/>
          <w:szCs w:val="24"/>
        </w:rPr>
        <w:t>国有企业主要布局在关系国家安全和国民经济命脉的重要行业和关键领域,包括涉及国家安全的行业(国防工业、造币、航空航天等)、重大基础设施和重要矿产资源行业(电力电网、电信、铁路、煤炭等)、支柱产业和高新技术产业(机械工业、电子工业、汽车工业、石油化工等)中的骨干企业,提供重要公共产品和服务的行业(大型水利设施、环保设施、城市公共交通等)。</w:t>
      </w:r>
    </w:p>
    <w:p>
      <w:p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非公有制经济在行业分布上以轻工纺织、普通机械、建筑运输、商贸服务等领域为主,现已开始向重化工业、基础设施、公用事业等领域拓展。在冶金、汽车、电力等行业,已经出现投资规模在几亿、几十亿甚至上百亿元的私营企业。</w:t>
      </w:r>
    </w:p>
    <w:p>
      <w:pPr>
        <w:numPr>
          <w:ilvl w:val="0"/>
          <w:numId w:val="8"/>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请概括材料一中所体现的经济信息。(6分)</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(2)结合材料一和材料二,并运用所学经济知识,说明上述经济现象对国有企业、非</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公有制企业发展的启示。(12分)</w:t>
      </w:r>
    </w:p>
    <w:p>
      <w:pPr>
        <w:numPr>
          <w:numId w:val="0"/>
        </w:numPr>
        <w:spacing w:line="360" w:lineRule="auto"/>
        <w:rPr>
          <w:rFonts w:ascii="Times New Roman" w:hAnsi="Times New Roman" w:cs="Times New Roman" w:hint="default"/>
          <w:sz w:val="24"/>
          <w:szCs w:val="24"/>
        </w:rPr>
      </w:pPr>
    </w:p>
    <w:p>
      <w:pPr>
        <w:numPr>
          <w:numId w:val="0"/>
        </w:numPr>
        <w:spacing w:line="360" w:lineRule="auto"/>
        <w:rPr>
          <w:rFonts w:ascii="Times New Roman" w:hAnsi="Times New Roman" w:cs="Times New Roman" w:hint="default"/>
          <w:sz w:val="24"/>
          <w:szCs w:val="24"/>
        </w:rPr>
      </w:pP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19.阅读材料,完成下列要求。(10分)</w:t>
      </w:r>
    </w:p>
    <w:p>
      <w:pPr>
        <w:numPr>
          <w:numId w:val="0"/>
        </w:num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当前,世界百年未有之大变局深入演进,新一轮科技革命和产业变革方兴未艾,我国正处在经济恢复和产业升级的关键期,长期积累的一些深层次结构性矛盾亟待破解。党的二十大以来,党中央从推动高质量发展全局出发,创造性提出加快发展新质生产力,并作出一系列重要部署。党的二十届三中全会进一步对健全发展新质生产力体制机制提出明确要求。</w:t>
      </w:r>
    </w:p>
    <w:p>
      <w:pPr>
        <w:numPr>
          <w:numId w:val="0"/>
        </w:numPr>
        <w:spacing w:line="360" w:lineRule="auto"/>
        <w:ind w:firstLine="480" w:firstLineChars="200"/>
        <w:rPr>
          <w:rFonts w:ascii="楷体" w:eastAsia="楷体" w:hAnsi="楷体" w:cs="楷体" w:hint="eastAsia"/>
          <w:sz w:val="24"/>
          <w:szCs w:val="24"/>
        </w:rPr>
      </w:pPr>
      <w:r>
        <w:rPr>
          <w:rFonts w:ascii="楷体" w:eastAsia="楷体" w:hAnsi="楷体" w:cs="楷体" w:hint="eastAsia"/>
          <w:sz w:val="24"/>
          <w:szCs w:val="24"/>
        </w:rPr>
        <w:t>面对新形势、新挑战,国资央企切实把发展新质生产力作为推动高质量发展的重要着力点和突破口,一体推进科技创新、产业创新和体制机制创新,取得了积极成效。国务院国资委数据显示,国资央企研发投入连续两年超过1万亿元,重大科技成果持续涌现,传统产业加快转型,战略性新兴产业蓬勃兴起。2023年战略性新兴产业投资同比增长32.1%,收入突破10万亿元,今年1月份至9月份投资同比增长17.6%,占央企总投资额的近40%,在发展新质生产力中发挥了重要引领带动作用。</w:t>
      </w:r>
    </w:p>
    <w:p>
      <w:pPr>
        <w:numPr>
          <w:numId w:val="0"/>
        </w:num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结合材料,运用所学经济知识,说明国资央企注重发展新质生产力的原因。(10分)</w:t>
      </w:r>
    </w:p>
    <w:p>
      <w:pPr>
        <w:numPr>
          <w:numId w:val="0"/>
        </w:numPr>
        <w:spacing w:line="360" w:lineRule="auto"/>
        <w:rPr>
          <w:rFonts w:ascii="Times New Roman" w:hAnsi="Times New Roman" w:cs="Times New Roman" w:hint="default"/>
          <w:sz w:val="24"/>
          <w:szCs w:val="24"/>
        </w:rPr>
      </w:pP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20.阅读材料,完成下列要求。(12分)</w:t>
      </w:r>
    </w:p>
    <w:p>
      <w:pPr>
        <w:spacing w:line="360" w:lineRule="auto"/>
        <w:ind w:firstLine="480" w:firstLineChars="200"/>
        <w:rPr>
          <w:rFonts w:ascii="楷体" w:eastAsia="楷体" w:hAnsi="楷体" w:cs="楷体" w:hint="eastAsia"/>
          <w:sz w:val="24"/>
          <w:szCs w:val="24"/>
        </w:rPr>
      </w:pPr>
      <w:bookmarkStart w:id="0" w:name="_GoBack"/>
      <w:r>
        <w:rPr>
          <w:rFonts w:ascii="楷体" w:eastAsia="楷体" w:hAnsi="楷体" w:cs="楷体" w:hint="eastAsia"/>
          <w:sz w:val="24"/>
          <w:szCs w:val="24"/>
        </w:rPr>
        <w:t>我国自2000年开始进入老龄化社会,老龄化程度快速上升,2023年末60岁及以上人口已近3亿,占总人口比重已超过20%,进入中度老龄化的阶段,对我国社会经济长期稳定发展和老龄社会治理形成不小挑战。积极应对人口老龄化是一项国家战略。党的二十届三中全会明确提出要发展银发经济,创造适合老年人的多样化、个性化就业岗位,加快建立长期护理保险制度。</w:t>
      </w:r>
    </w:p>
    <w:p>
      <w:pPr>
        <w:spacing w:line="360" w:lineRule="auto"/>
        <w:ind w:firstLine="480" w:firstLineChars="200"/>
        <w:rPr>
          <w:rFonts w:ascii="Times New Roman" w:hAnsi="Times New Roman" w:eastAsiaTheme="minorEastAsia" w:cs="Times New Roman" w:hint="eastAsia"/>
          <w:sz w:val="24"/>
          <w:szCs w:val="24"/>
          <w:lang w:eastAsia="zh-CN"/>
        </w:rPr>
      </w:pPr>
      <w:r>
        <w:rPr>
          <w:rFonts w:ascii="楷体" w:eastAsia="楷体" w:hAnsi="楷体" w:cs="楷体" w:hint="eastAsia"/>
          <w:sz w:val="24"/>
          <w:szCs w:val="24"/>
        </w:rPr>
        <w:t>目前,我国银发经济仍处于起步阶段,呈现市场规模持续扩大、需求稳步增长、政策扶持力度不断加大、关键技术和产品创新速度加快等基本态势,同时也面临着涉老产品和服务的供应明显滞后于市场需求、企业介入的积极性高涨但商业模式尚不成熟、服务和产品的标准体系还不健全、专业人员稀缺等问题</w:t>
      </w:r>
      <w:r>
        <w:rPr>
          <w:rFonts w:ascii="楷体" w:eastAsia="楷体" w:hAnsi="楷体" w:cs="楷体" w:hint="eastAsia"/>
          <w:sz w:val="24"/>
          <w:szCs w:val="24"/>
          <w:lang w:eastAsia="zh-CN"/>
        </w:rPr>
        <w:t>。</w:t>
      </w:r>
      <w:bookmarkEnd w:id="0"/>
    </w:p>
    <w:p>
      <w:pPr>
        <w:spacing w:line="360"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有人认为,解决银发经济所面对的诸多问题应由政府独自解决。请运用所学经济知识,对该观点进行评析。(12分)</w:t>
      </w:r>
    </w:p>
    <w:p>
      <w:pPr>
        <w:spacing w:line="360" w:lineRule="auto"/>
        <w:rPr>
          <w:rFonts w:ascii="Times New Roman" w:hAnsi="Times New Roman" w:cs="Times New Roman" w:hint="default"/>
          <w:sz w:val="24"/>
          <w:szCs w:val="24"/>
        </w:rPr>
      </w:pPr>
    </w:p>
    <w:p>
      <w:pPr>
        <w:spacing w:line="360" w:lineRule="auto"/>
        <w:rPr>
          <w:rFonts w:ascii="Times New Roman" w:hAnsi="Times New Roman" w:cs="Times New Roman" w:hint="default"/>
          <w:sz w:val="24"/>
          <w:szCs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BD024B"/>
    <w:multiLevelType w:val="singleLevel"/>
    <w:tmpl w:val="B5BD024B"/>
    <w:lvl w:ilvl="0">
      <w:start w:val="1"/>
      <w:numFmt w:val="upperLetter"/>
      <w:suff w:val="space"/>
      <w:lvlText w:val="%1."/>
      <w:lvlJc w:val="left"/>
    </w:lvl>
  </w:abstractNum>
  <w:abstractNum w:abstractNumId="1">
    <w:nsid w:val="BA4ADD3B"/>
    <w:multiLevelType w:val="singleLevel"/>
    <w:tmpl w:val="BA4ADD3B"/>
    <w:lvl w:ilvl="0">
      <w:start w:val="1"/>
      <w:numFmt w:val="upperLetter"/>
      <w:suff w:val="space"/>
      <w:lvlText w:val="%1."/>
      <w:lvlJc w:val="left"/>
    </w:lvl>
  </w:abstractNum>
  <w:abstractNum w:abstractNumId="2">
    <w:nsid w:val="E73B3FD5"/>
    <w:multiLevelType w:val="singleLevel"/>
    <w:tmpl w:val="E73B3FD5"/>
    <w:lvl w:ilvl="0">
      <w:start w:val="1"/>
      <w:numFmt w:val="upperLetter"/>
      <w:suff w:val="space"/>
      <w:lvlText w:val="%1."/>
      <w:lvlJc w:val="left"/>
    </w:lvl>
  </w:abstractNum>
  <w:abstractNum w:abstractNumId="3">
    <w:nsid w:val="F4CF9251"/>
    <w:multiLevelType w:val="singleLevel"/>
    <w:tmpl w:val="F4CF9251"/>
    <w:lvl w:ilvl="0">
      <w:start w:val="1"/>
      <w:numFmt w:val="upperLetter"/>
      <w:suff w:val="space"/>
      <w:lvlText w:val="%1."/>
      <w:lvlJc w:val="left"/>
    </w:lvl>
  </w:abstractNum>
  <w:abstractNum w:abstractNumId="4">
    <w:nsid w:val="3CB7DAA9"/>
    <w:multiLevelType w:val="singleLevel"/>
    <w:tmpl w:val="3CB7DAA9"/>
    <w:lvl w:ilvl="0">
      <w:start w:val="1"/>
      <w:numFmt w:val="upperLetter"/>
      <w:suff w:val="space"/>
      <w:lvlText w:val="%1."/>
      <w:lvlJc w:val="left"/>
    </w:lvl>
  </w:abstractNum>
  <w:abstractNum w:abstractNumId="5">
    <w:nsid w:val="41F52844"/>
    <w:multiLevelType w:val="singleLevel"/>
    <w:tmpl w:val="41F52844"/>
    <w:lvl w:ilvl="0">
      <w:start w:val="1"/>
      <w:numFmt w:val="upperLetter"/>
      <w:suff w:val="space"/>
      <w:lvlText w:val="%1."/>
      <w:lvlJc w:val="left"/>
    </w:lvl>
  </w:abstractNum>
  <w:abstractNum w:abstractNumId="6">
    <w:nsid w:val="6A51DF0E"/>
    <w:multiLevelType w:val="singleLevel"/>
    <w:tmpl w:val="6A51DF0E"/>
    <w:lvl w:ilvl="0">
      <w:start w:val="1"/>
      <w:numFmt w:val="decimal"/>
      <w:lvlText w:val="(%1)"/>
      <w:lvlJc w:val="left"/>
      <w:pPr>
        <w:tabs>
          <w:tab w:val="left" w:pos="312"/>
        </w:tabs>
      </w:pPr>
    </w:lvl>
  </w:abstractNum>
  <w:abstractNum w:abstractNumId="7">
    <w:nsid w:val="6CEA092F"/>
    <w:multiLevelType w:val="singleLevel"/>
    <w:tmpl w:val="6CEA092F"/>
    <w:lvl w:ilvl="0">
      <w:start w:val="9"/>
      <w:numFmt w:val="decimal"/>
      <w:lvlText w:val="%1."/>
      <w:lvlJc w:val="left"/>
      <w:pPr>
        <w:tabs>
          <w:tab w:val="left" w:pos="312"/>
        </w:tabs>
      </w:p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6DB32875"/>
  </w:rsids>
  <w:docVars>
    <w:docVar w:name="commondata" w:val="eyJoZGlkIjoiMjIwYWJlZTRlZWIxNTBlZmU5YWU1MTBhZjgxZDBk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semiHidden/>
    <w:qFormat/>
    <w:rPr>
      <w:rFonts w:ascii="微软雅黑" w:eastAsia="微软雅黑" w:hAnsi="微软雅黑" w:cs="微软雅黑"/>
      <w:sz w:val="22"/>
      <w:szCs w:val="22"/>
      <w:lang w:val="en-US" w:eastAsia="en-US" w:bidi="ar-SA"/>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86137</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