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3.7.0 -->
  <w:body>
    <w:p w14:paraId="6135CBDB">
      <w:pPr>
        <w:spacing w:line="360" w:lineRule="exact"/>
        <w:jc w:val="center"/>
        <w:rPr>
          <w:rFonts w:ascii="宋体" w:hAnsi="宋体" w:hint="eastAsia"/>
          <w:b/>
          <w:bCs/>
          <w:sz w:val="30"/>
          <w:szCs w:val="30"/>
        </w:rPr>
      </w:pPr>
      <w:r>
        <w:rPr>
          <w:rFonts w:ascii="宋体" w:hAnsi="宋体" w:hint="eastAsia"/>
          <w:b/>
          <w:bCs/>
          <w:sz w:val="30"/>
          <w:szCs w:val="30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11569700</wp:posOffset>
            </wp:positionH>
            <wp:positionV relativeFrom="topMargin">
              <wp:posOffset>12496800</wp:posOffset>
            </wp:positionV>
            <wp:extent cx="292100" cy="355600"/>
            <wp:wrapNone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Hlk184833916"/>
      <w:r>
        <w:rPr>
          <w:rFonts w:ascii="宋体" w:hAnsi="宋体" w:hint="eastAsia"/>
          <w:b/>
          <w:bCs/>
          <w:sz w:val="30"/>
          <w:szCs w:val="30"/>
        </w:rPr>
        <w:t>2023/2024学年度第一学期</w:t>
      </w:r>
    </w:p>
    <w:p w14:paraId="67DA7F27">
      <w:pPr>
        <w:spacing w:line="360" w:lineRule="exact"/>
        <w:jc w:val="center"/>
        <w:rPr>
          <w:rFonts w:ascii="宋体" w:hAnsi="宋体" w:hint="eastAsia"/>
          <w:b/>
          <w:bCs/>
          <w:sz w:val="30"/>
          <w:szCs w:val="30"/>
        </w:rPr>
      </w:pPr>
      <w:r>
        <w:rPr>
          <w:rFonts w:ascii="宋体" w:hAnsi="宋体" w:hint="eastAsia"/>
          <w:b/>
          <w:bCs/>
          <w:sz w:val="30"/>
          <w:szCs w:val="30"/>
        </w:rPr>
        <w:t>联盟校第二次阶段性考试高一年级历史试题</w:t>
      </w:r>
    </w:p>
    <w:bookmarkEnd w:id="0"/>
    <w:p w14:paraId="444CD8E7">
      <w:pPr>
        <w:spacing w:line="280" w:lineRule="exact"/>
        <w:jc w:val="center"/>
        <w:rPr>
          <w:rFonts w:ascii="楷体" w:eastAsia="楷体" w:hAnsi="楷体" w:hint="eastAsia"/>
          <w:b/>
          <w:bCs/>
          <w:szCs w:val="21"/>
          <w:lang w:eastAsia="zh-CN"/>
        </w:rPr>
      </w:pPr>
      <w:r>
        <w:rPr>
          <w:rFonts w:ascii="楷体" w:eastAsia="楷体" w:hAnsi="楷体" w:hint="eastAsia"/>
          <w:b/>
          <w:bCs/>
          <w:szCs w:val="21"/>
          <w:lang w:val="en-US" w:eastAsia="zh-CN"/>
        </w:rPr>
        <w:t xml:space="preserve"> </w:t>
      </w:r>
    </w:p>
    <w:p w14:paraId="5329F8AC">
      <w:pPr>
        <w:spacing w:line="280" w:lineRule="exact"/>
        <w:jc w:val="center"/>
        <w:rPr>
          <w:rFonts w:ascii="楷体" w:eastAsia="楷体" w:hAnsi="楷体" w:hint="eastAsia"/>
          <w:b/>
          <w:bCs/>
          <w:szCs w:val="21"/>
        </w:rPr>
      </w:pPr>
      <w:r>
        <w:rPr>
          <w:rFonts w:ascii="楷体" w:eastAsia="楷体" w:hAnsi="楷体" w:hint="eastAsia"/>
          <w:b/>
          <w:bCs/>
          <w:szCs w:val="21"/>
        </w:rPr>
        <w:t>（总分100分     考试时间75分钟）</w:t>
      </w:r>
      <w:bookmarkStart w:id="1" w:name="_GoBack"/>
      <w:bookmarkEnd w:id="1"/>
    </w:p>
    <w:p w14:paraId="0C35C7C3">
      <w:pPr>
        <w:spacing w:line="280" w:lineRule="exact"/>
        <w:rPr>
          <w:rFonts w:ascii="楷体" w:eastAsia="楷体" w:hAnsi="楷体" w:hint="eastAsia"/>
          <w:szCs w:val="21"/>
        </w:rPr>
      </w:pPr>
      <w:r>
        <w:rPr>
          <w:rFonts w:ascii="楷体" w:eastAsia="楷体" w:hAnsi="楷体" w:hint="eastAsia"/>
          <w:szCs w:val="21"/>
        </w:rPr>
        <w:t>注意事项:</w:t>
      </w:r>
    </w:p>
    <w:p w14:paraId="063D3F30">
      <w:pPr>
        <w:spacing w:line="280" w:lineRule="exact"/>
        <w:rPr>
          <w:rFonts w:ascii="楷体" w:eastAsia="楷体" w:hAnsi="楷体" w:hint="eastAsia"/>
          <w:szCs w:val="21"/>
        </w:rPr>
      </w:pPr>
      <w:r>
        <w:rPr>
          <w:rFonts w:ascii="楷体" w:eastAsia="楷体" w:hAnsi="楷体" w:hint="eastAsia"/>
          <w:szCs w:val="21"/>
        </w:rPr>
        <w:t>1.本试卷中所有试题必须作答在答题纸上规定的位置，否则不给分。</w:t>
      </w:r>
    </w:p>
    <w:p w14:paraId="76ADC284">
      <w:pPr>
        <w:spacing w:line="280" w:lineRule="exact"/>
        <w:rPr>
          <w:rFonts w:ascii="楷体" w:eastAsia="楷体" w:hAnsi="楷体" w:hint="eastAsia"/>
          <w:szCs w:val="21"/>
        </w:rPr>
      </w:pPr>
      <w:r>
        <w:rPr>
          <w:rFonts w:ascii="楷体" w:eastAsia="楷体" w:hAnsi="楷体" w:hint="eastAsia"/>
          <w:szCs w:val="21"/>
        </w:rPr>
        <w:t>2.答题前，务必将自己的姓名、准考证号用 0.5毫米黑色墨水签字笔填写在试卷及答题纸</w:t>
      </w:r>
    </w:p>
    <w:p w14:paraId="030C36FF">
      <w:pPr>
        <w:spacing w:line="280" w:lineRule="exact"/>
        <w:rPr>
          <w:rFonts w:ascii="楷体" w:eastAsia="楷体" w:hAnsi="楷体" w:hint="eastAsia"/>
          <w:szCs w:val="21"/>
        </w:rPr>
      </w:pPr>
      <w:r>
        <w:rPr>
          <w:rFonts w:ascii="楷体" w:eastAsia="楷体" w:hAnsi="楷体" w:hint="eastAsia"/>
          <w:szCs w:val="21"/>
        </w:rPr>
        <w:t>上。</w:t>
      </w:r>
    </w:p>
    <w:p w14:paraId="06A67DA0">
      <w:pPr>
        <w:spacing w:line="280" w:lineRule="exact"/>
        <w:rPr>
          <w:rFonts w:ascii="楷体" w:eastAsia="楷体" w:hAnsi="楷体" w:hint="eastAsia"/>
          <w:szCs w:val="21"/>
        </w:rPr>
      </w:pPr>
      <w:r>
        <w:rPr>
          <w:rFonts w:ascii="楷体" w:eastAsia="楷体" w:hAnsi="楷体" w:hint="eastAsia"/>
          <w:szCs w:val="21"/>
        </w:rPr>
        <w:t>3.作答非选择题时必须用黑色字迹 0.5毫米签字笔书写在答题纸的指定位置上，作答选择</w:t>
      </w:r>
    </w:p>
    <w:p w14:paraId="04DE5A2B">
      <w:pPr>
        <w:rPr>
          <w:rFonts w:ascii="楷体" w:eastAsia="楷体" w:hAnsi="楷体" w:hint="eastAsia"/>
          <w:szCs w:val="21"/>
        </w:rPr>
      </w:pPr>
      <w:r>
        <w:rPr>
          <w:rFonts w:ascii="楷体" w:eastAsia="楷体" w:hAnsi="楷体" w:hint="eastAsia"/>
          <w:szCs w:val="21"/>
        </w:rPr>
        <w:t>题必须用2B铅笔在答题纸上将对应题目的选项涂黑。如需改动，请用橡皮擦干净后，再选涂其它答案，请保持答题纸清洁，不折叠、不破损。</w:t>
      </w:r>
    </w:p>
    <w:p w14:paraId="01AD3622">
      <w:pPr>
        <w:spacing w:line="360" w:lineRule="exact"/>
        <w:rPr>
          <w:rFonts w:ascii="黑体" w:eastAsia="黑体" w:hAnsi="黑体" w:hint="eastAsia"/>
          <w:sz w:val="24"/>
          <w:szCs w:val="24"/>
        </w:rPr>
      </w:pPr>
      <w:r>
        <w:rPr>
          <w:rFonts w:ascii="黑体" w:eastAsia="黑体" w:hAnsi="黑体" w:hint="eastAsia"/>
          <w:b/>
          <w:sz w:val="24"/>
          <w:szCs w:val="24"/>
        </w:rPr>
        <w:t>一</w:t>
      </w:r>
      <w:r>
        <w:rPr>
          <w:rFonts w:ascii="黑体" w:eastAsia="黑体" w:hAnsi="黑体"/>
          <w:b/>
          <w:sz w:val="24"/>
          <w:szCs w:val="24"/>
        </w:rPr>
        <w:t>、选择题：本题共</w:t>
      </w:r>
      <w:r>
        <w:rPr>
          <w:rFonts w:ascii="黑体" w:eastAsia="黑体" w:hAnsi="黑体" w:hint="eastAsia"/>
          <w:b/>
          <w:sz w:val="24"/>
          <w:szCs w:val="24"/>
        </w:rPr>
        <w:t>40</w:t>
      </w:r>
      <w:r>
        <w:rPr>
          <w:rFonts w:ascii="黑体" w:eastAsia="黑体" w:hAnsi="黑体"/>
          <w:b/>
          <w:sz w:val="24"/>
          <w:szCs w:val="24"/>
        </w:rPr>
        <w:t>小题，共</w:t>
      </w:r>
      <w:r>
        <w:rPr>
          <w:rFonts w:ascii="黑体" w:eastAsia="黑体" w:hAnsi="黑体" w:hint="eastAsia"/>
          <w:b/>
          <w:sz w:val="24"/>
          <w:szCs w:val="24"/>
        </w:rPr>
        <w:t>80</w:t>
      </w:r>
      <w:r>
        <w:rPr>
          <w:rFonts w:ascii="黑体" w:eastAsia="黑体" w:hAnsi="黑体"/>
          <w:b/>
          <w:sz w:val="24"/>
          <w:szCs w:val="24"/>
        </w:rPr>
        <w:t>分。</w:t>
      </w:r>
    </w:p>
    <w:p w14:paraId="0A6A3103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1．中华文明多元一体，源远流长，生生不息；中国原始文化星罗棋布，多姿多彩。下列古人类遗址与原始文化遗存，空间位置标示正确的是（　　）</w:t>
      </w:r>
    </w:p>
    <w:p w14:paraId="26E6E93A">
      <w:pPr>
        <w:pStyle w:val="---"/>
        <w:spacing w:line="240" w:lineRule="auto"/>
        <w:ind w:firstLine="210" w:firstLineChars="100"/>
        <w:jc w:val="center"/>
        <w:rPr>
          <w:szCs w:val="21"/>
        </w:rPr>
      </w:pPr>
      <w:r>
        <w:rPr>
          <w:rFonts w:hint="eastAsia"/>
          <w:szCs w:val="21"/>
        </w:rPr>
        <w:drawing>
          <wp:inline distT="0" distB="0" distL="0" distR="0">
            <wp:extent cx="3101975" cy="2327910"/>
            <wp:effectExtent l="0" t="0" r="3175" b="0"/>
            <wp:docPr id="484674206" name="/upload/image/2024/8/26/2024082612592172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674206" name="/upload/image/2024/8/26/202408261259217212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7146" cy="2339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E2533">
      <w:pPr>
        <w:pStyle w:val="---0"/>
        <w:tabs>
          <w:tab w:val="left" w:pos="4544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①——大汶口文化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②——河姆渡文化</w:t>
      </w:r>
    </w:p>
    <w:p w14:paraId="690501F6">
      <w:pPr>
        <w:pStyle w:val="---0"/>
        <w:tabs>
          <w:tab w:val="left" w:pos="4568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③——北京人遗址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④——元谋人遗址</w:t>
      </w:r>
    </w:p>
    <w:p w14:paraId="4C590973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2．在西周，形成天子——诸侯——卿大夫——士的金字塔型等级结构，周王成为天下共主，同时周王也是天下宗主，周王的嫡长子是天子的法定继承人。其余诸子或辅佐天子，或被授予土地为诸侯，成为王室的“藩卫”。这反映了西周（　　）</w:t>
      </w:r>
    </w:p>
    <w:p w14:paraId="0ECC664F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解决了统治阶级内部矛盾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受到了早期神权思想影响</w:t>
      </w:r>
    </w:p>
    <w:p w14:paraId="527D9CE5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形成了家国一体政治格局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沿袭了前代的内外服制度</w:t>
      </w:r>
    </w:p>
    <w:p w14:paraId="37F8DFDF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3．春秋时期，鲁国推行“初税亩”经济改革，逐步将“籍公田”的集体劳役地租，改变为履亩而税的家庭实物地租，不分公田、私田一律按亩收税。该举措的推行（　 ）</w:t>
      </w:r>
    </w:p>
    <w:p w14:paraId="61B15051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标志着井田制的确立</w:t>
      </w:r>
    </w:p>
    <w:p w14:paraId="6A631940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反映了传统分封宗法制度的崩坏</w:t>
      </w:r>
    </w:p>
    <w:p w14:paraId="76CCA6AE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有利于推动社会制度的转型</w:t>
      </w:r>
    </w:p>
    <w:p w14:paraId="242359C6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保障了鲁国的长治久安</w:t>
      </w:r>
    </w:p>
    <w:p w14:paraId="7B37BE71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4．春秋时期，中原地区因社会发展较先进而自称为“华夏”，进入战国之后，周边各族也逐渐融入华夏族。这一过程反映了（　　）</w:t>
      </w:r>
    </w:p>
    <w:p w14:paraId="2491FA20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生产力水平不断进步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中外交流渐趋频繁</w:t>
      </w:r>
    </w:p>
    <w:p w14:paraId="0F3567E2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30"/>
          <w:szCs w:val="21"/>
        </w:rPr>
        <w:t>C．</w:t>
      </w:r>
      <w:r>
        <w:rPr>
          <w:rFonts w:hint="eastAsia"/>
          <w:szCs w:val="21"/>
        </w:rPr>
        <w:t>“华夏认同”观念逐渐形成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少数民族南迁</w:t>
      </w:r>
    </w:p>
    <w:p w14:paraId="0EDEFCCE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5．孔子主张“己所不欲，勿施于人”，老子主张“上善若水，水善利万物而不争”，墨子主张“节俭”，说明他们都主张（　　）</w:t>
      </w:r>
    </w:p>
    <w:p w14:paraId="1B952B0D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倡导社会和谐与秩序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强调道德规范和个人品德</w:t>
      </w:r>
    </w:p>
    <w:p w14:paraId="44A15EC0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推崇节俭和反对奢侈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提倡无为而治的政治理念</w:t>
      </w:r>
    </w:p>
    <w:p w14:paraId="7DBCBB18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6．秦始皇认为，“道路以轮轨相同，车车相随，则万里之内无难事”，《史记》中有“始皇……车同轨”的记载。据在河北秦井陉古道、云南曲靖秦故道车辙和辽宁朝阳城门车辙的考古报告，车轨尺寸与“舆六尺”基本一致。由此可知（　　）</w:t>
      </w:r>
    </w:p>
    <w:p w14:paraId="4C6295A2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地下材料的历史价值更高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文献记载均需得到考古验证</w:t>
      </w:r>
    </w:p>
    <w:p w14:paraId="7D1342E3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文献与考古材料相互印证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车同轨是出于完成统一之需</w:t>
      </w:r>
    </w:p>
    <w:p w14:paraId="66F9F2E7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7．史书记载，秦的御史大夫“位上卿，银印青授，掌副丞相”。有学者认为“副”在古代有剖开、分割之意。该学者认为，秦朝设置御史大夫的目的是（　　）</w:t>
      </w:r>
    </w:p>
    <w:p w14:paraId="1DE86C40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制约丞相权力，维护君主专制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强化思想控制，实行愚民政策</w:t>
      </w:r>
    </w:p>
    <w:p w14:paraId="788D8F0A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扩大丞相权力，提高行政效率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担任侍从顾问，协助批阅奏章</w:t>
      </w:r>
    </w:p>
    <w:p w14:paraId="69B570E3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8．汉初，丞相位高权重，辅佐天子处理政务。但到汉武帝时，丞相大都谨小慎微，难有建树。出现这一变化的原因是（　　）</w:t>
      </w:r>
    </w:p>
    <w:p w14:paraId="70B890D9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设立中朝，牵制外朝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罢黜百家，尊崇儒术</w:t>
      </w:r>
    </w:p>
    <w:p w14:paraId="7399D39C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颁布推恩令，削弱王侯势力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三省六部制的确立</w:t>
      </w:r>
    </w:p>
    <w:p w14:paraId="6F57EE65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9．据载，“（东汉）灵、献之世……时人语曰：‘举秀才，不知书；察孝廉，父别居。寒素清白浊如泥，高第良将怯如鸡。’”造成这一局面的原因在于（　　）</w:t>
      </w:r>
    </w:p>
    <w:p w14:paraId="1B619A18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寒门子弟缺乏儒家思想的熏陶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朝廷不重视对各级官吏的考核</w:t>
      </w:r>
    </w:p>
    <w:p w14:paraId="0A6158DF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人才选拔标准发生重大变化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豪强大族控制了地方选人权</w:t>
      </w:r>
    </w:p>
    <w:p w14:paraId="539B27CC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10．如表是魏晋南北朝时期各朝人口统计表（单位：万人）据此可推知该时期（　　）</w:t>
      </w:r>
    </w:p>
    <w:tbl>
      <w:tblPr>
        <w:tblStyle w:val="TableGrid"/>
        <w:tblW w:w="49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0" w:type="dxa"/>
          <w:bottom w:w="0" w:type="dxa"/>
          <w:right w:w="0" w:type="dxa"/>
        </w:tblCellMar>
      </w:tblPr>
      <w:tblGrid>
        <w:gridCol w:w="953"/>
        <w:gridCol w:w="553"/>
        <w:gridCol w:w="553"/>
        <w:gridCol w:w="553"/>
        <w:gridCol w:w="658"/>
        <w:gridCol w:w="824"/>
        <w:gridCol w:w="863"/>
      </w:tblGrid>
      <w:tr w14:paraId="5FF080DF">
        <w:tblPrEx>
          <w:tblW w:w="4957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53" w:type="dxa"/>
            <w:tcMar>
              <w:left w:w="119" w:type="dxa"/>
              <w:right w:w="119" w:type="dxa"/>
            </w:tcMar>
            <w:vAlign w:val="center"/>
          </w:tcPr>
          <w:p w14:paraId="02528D36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朝代</w:t>
            </w:r>
          </w:p>
        </w:tc>
        <w:tc>
          <w:tcPr>
            <w:tcW w:w="0" w:type="auto"/>
            <w:tcMar>
              <w:left w:w="119" w:type="dxa"/>
              <w:right w:w="119" w:type="dxa"/>
            </w:tcMar>
            <w:vAlign w:val="center"/>
          </w:tcPr>
          <w:p w14:paraId="34000AC3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宋</w:t>
            </w:r>
          </w:p>
        </w:tc>
        <w:tc>
          <w:tcPr>
            <w:tcW w:w="0" w:type="auto"/>
            <w:tcMar>
              <w:left w:w="119" w:type="dxa"/>
              <w:right w:w="119" w:type="dxa"/>
            </w:tcMar>
            <w:vAlign w:val="center"/>
          </w:tcPr>
          <w:p w14:paraId="00A9B2E3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齐</w:t>
            </w:r>
          </w:p>
        </w:tc>
        <w:tc>
          <w:tcPr>
            <w:tcW w:w="0" w:type="auto"/>
            <w:tcMar>
              <w:left w:w="119" w:type="dxa"/>
              <w:right w:w="119" w:type="dxa"/>
            </w:tcMar>
            <w:vAlign w:val="center"/>
          </w:tcPr>
          <w:p w14:paraId="094062FE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陈</w:t>
            </w:r>
          </w:p>
        </w:tc>
        <w:tc>
          <w:tcPr>
            <w:tcW w:w="0" w:type="auto"/>
            <w:tcMar>
              <w:left w:w="119" w:type="dxa"/>
              <w:right w:w="119" w:type="dxa"/>
            </w:tcMar>
            <w:vAlign w:val="center"/>
          </w:tcPr>
          <w:p w14:paraId="06226A6B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北魏</w:t>
            </w:r>
          </w:p>
        </w:tc>
        <w:tc>
          <w:tcPr>
            <w:tcW w:w="824" w:type="dxa"/>
            <w:tcMar>
              <w:left w:w="119" w:type="dxa"/>
              <w:right w:w="119" w:type="dxa"/>
            </w:tcMar>
            <w:vAlign w:val="center"/>
          </w:tcPr>
          <w:p w14:paraId="71593611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北周</w:t>
            </w:r>
          </w:p>
        </w:tc>
        <w:tc>
          <w:tcPr>
            <w:tcW w:w="863" w:type="dxa"/>
            <w:tcMar>
              <w:left w:w="119" w:type="dxa"/>
              <w:right w:w="119" w:type="dxa"/>
            </w:tcMar>
            <w:vAlign w:val="center"/>
          </w:tcPr>
          <w:p w14:paraId="067C0C4C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北齐</w:t>
            </w:r>
          </w:p>
        </w:tc>
      </w:tr>
      <w:tr w14:paraId="3155B3D8">
        <w:tblPrEx>
          <w:tblW w:w="4957" w:type="dxa"/>
          <w:jc w:val="center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953" w:type="dxa"/>
            <w:tcMar>
              <w:left w:w="119" w:type="dxa"/>
              <w:right w:w="119" w:type="dxa"/>
            </w:tcMar>
            <w:vAlign w:val="center"/>
          </w:tcPr>
          <w:p w14:paraId="5B735B96">
            <w:pPr>
              <w:jc w:val="center"/>
              <w:rPr>
                <w:rFonts w:eastAsia="楷体_GB2312"/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人口</w:t>
            </w:r>
          </w:p>
          <w:p w14:paraId="288CCCDF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数量</w:t>
            </w:r>
          </w:p>
        </w:tc>
        <w:tc>
          <w:tcPr>
            <w:tcW w:w="0" w:type="auto"/>
            <w:tcMar>
              <w:left w:w="119" w:type="dxa"/>
              <w:right w:w="119" w:type="dxa"/>
            </w:tcMar>
            <w:vAlign w:val="center"/>
          </w:tcPr>
          <w:p w14:paraId="3C9C4308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600</w:t>
            </w:r>
          </w:p>
        </w:tc>
        <w:tc>
          <w:tcPr>
            <w:tcW w:w="0" w:type="auto"/>
            <w:tcMar>
              <w:left w:w="119" w:type="dxa"/>
              <w:right w:w="119" w:type="dxa"/>
            </w:tcMar>
            <w:vAlign w:val="center"/>
          </w:tcPr>
          <w:p w14:paraId="51C45057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400</w:t>
            </w:r>
          </w:p>
        </w:tc>
        <w:tc>
          <w:tcPr>
            <w:tcW w:w="0" w:type="auto"/>
            <w:tcMar>
              <w:left w:w="119" w:type="dxa"/>
              <w:right w:w="119" w:type="dxa"/>
            </w:tcMar>
            <w:vAlign w:val="center"/>
          </w:tcPr>
          <w:p w14:paraId="734AE98D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250</w:t>
            </w:r>
          </w:p>
        </w:tc>
        <w:tc>
          <w:tcPr>
            <w:tcW w:w="0" w:type="auto"/>
            <w:tcMar>
              <w:left w:w="119" w:type="dxa"/>
              <w:right w:w="119" w:type="dxa"/>
            </w:tcMar>
            <w:vAlign w:val="center"/>
          </w:tcPr>
          <w:p w14:paraId="1BEEBF29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1850</w:t>
            </w:r>
          </w:p>
        </w:tc>
        <w:tc>
          <w:tcPr>
            <w:tcW w:w="824" w:type="dxa"/>
            <w:tcMar>
              <w:left w:w="119" w:type="dxa"/>
              <w:right w:w="119" w:type="dxa"/>
            </w:tcMar>
            <w:vAlign w:val="center"/>
          </w:tcPr>
          <w:p w14:paraId="312841F7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800</w:t>
            </w:r>
          </w:p>
        </w:tc>
        <w:tc>
          <w:tcPr>
            <w:tcW w:w="863" w:type="dxa"/>
            <w:tcMar>
              <w:left w:w="119" w:type="dxa"/>
              <w:right w:w="119" w:type="dxa"/>
            </w:tcMar>
            <w:vAlign w:val="center"/>
          </w:tcPr>
          <w:p w14:paraId="707771CD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1600</w:t>
            </w:r>
          </w:p>
        </w:tc>
      </w:tr>
    </w:tbl>
    <w:p w14:paraId="3FE12E60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南北经济趋于平衡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北方经济走向衰落</w:t>
      </w:r>
    </w:p>
    <w:p w14:paraId="3CBCE899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南方社会长期动荡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北方更具统一优势</w:t>
      </w:r>
    </w:p>
    <w:p w14:paraId="3634199D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11．南朝刘宋时期，“荆城跨有南楚之富裕，扬州拥有全吴之丰饶，鱼盐杞梓的收益，可以滋养四面八方，丝绵布帛之丰茂，可以供天下百姓穿戴”。这反映当时（　　）</w:t>
      </w:r>
    </w:p>
    <w:p w14:paraId="07C76252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经济重心南移完成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长江中下游区域经济发展</w:t>
      </w:r>
    </w:p>
    <w:p w14:paraId="0713A5CE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民族交融取得重要进展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南朝刘宋时期百姓安居乐业</w:t>
      </w:r>
    </w:p>
    <w:p w14:paraId="17CC844A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12．论及魏晋南北朝，某学者评论道：“这一时期由统一到分裂，再由分裂到统一，却也开启了‘小中国’向‘大中国’的转变，由‘多中心’向‘一体化’的演进。”可以印证上述结论的有（　　）</w:t>
      </w:r>
    </w:p>
    <w:p w14:paraId="1BFBC40E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zCs w:val="21"/>
        </w:rPr>
        <w:t>①胡汉交融，华夏认同产生       ②北民南迁，南方开发</w:t>
      </w:r>
    </w:p>
    <w:p w14:paraId="249D1744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zCs w:val="21"/>
        </w:rPr>
        <w:t>③儒佛道相互吸收，文化交流     ④三省创立，事权分化</w:t>
      </w:r>
    </w:p>
    <w:p w14:paraId="39925ECD">
      <w:pPr>
        <w:pStyle w:val="---0"/>
        <w:tabs>
          <w:tab w:val="left" w:pos="2100"/>
          <w:tab w:val="left" w:pos="3780"/>
          <w:tab w:val="left" w:pos="546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①②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②③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②④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③④</w:t>
      </w:r>
    </w:p>
    <w:p w14:paraId="3F4BA2CF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13．唐朝武则天执政后的“大行帷帽”（原属胡装），从造型上来看是一种高顶宽檐笠帽，在帽檐一周制有薄而透的面纱（如图戴帷帽女子骑马雕塑）。唐代女性通过珠宝等饰品装饰丝网来展现自己的地位，与其他流行的款式相搭配。这可以说明当时（　　）</w:t>
      </w:r>
    </w:p>
    <w:p w14:paraId="53B1ABDA">
      <w:pPr>
        <w:pStyle w:val="---"/>
        <w:spacing w:line="240" w:lineRule="auto"/>
        <w:ind w:left="420"/>
        <w:jc w:val="center"/>
        <w:rPr>
          <w:szCs w:val="21"/>
        </w:rPr>
      </w:pPr>
      <w:r>
        <w:rPr>
          <w:rFonts w:hint="eastAsia"/>
          <w:szCs w:val="21"/>
        </w:rPr>
        <w:drawing>
          <wp:inline distT="0" distB="0" distL="0" distR="0">
            <wp:extent cx="2094230" cy="1882140"/>
            <wp:effectExtent l="0" t="0" r="1270" b="3810"/>
            <wp:docPr id="3" name="/upload/image/20241014/2024101413372607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/upload/image/20241014/202410141337260774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944" cy="1883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86AF8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 xml:space="preserve">异域风尚推动社会进步         </w:t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开明的民族政策利于促进文化交流</w:t>
      </w:r>
    </w:p>
    <w:p w14:paraId="64943AD8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 xml:space="preserve">女性社会地位得到提升         </w:t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社会普遍崇尚简约自由的服饰风格</w:t>
      </w:r>
    </w:p>
    <w:p w14:paraId="65459BBA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14．唐朝安史之乱期间和以后，藩镇割据局面持续了100多年。河朔三镇节度使不论是世袭还是军士拥立，都要得到朝廷形式上的认可；此外绝大多数藩镇，如中原、边疆、东南型藩镇，其节度使的调任和派遣基本上都由中央决定。由此可知，唐朝藩镇（　　）</w:t>
      </w:r>
    </w:p>
    <w:p w14:paraId="3A741F30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继承人不能由上任节度使指定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有效加强中央对地方的控制</w:t>
      </w:r>
    </w:p>
    <w:p w14:paraId="13DD4E81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财政收入的大部分由中央支配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一定程度上延续了唐朝统治</w:t>
      </w:r>
    </w:p>
    <w:p w14:paraId="2C196B14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15．《文献通考》记载：“唐初，始合中书、门下之职，故有同中书门下三品、同中书门下平章事，其后又置政事堂，盖以中书出诏令，门下掌封驳，日有争论，纷纭不决，故使两省先于政事堂议定，然后奏闻。”对此解读合理的是（　　）</w:t>
      </w:r>
    </w:p>
    <w:p w14:paraId="662DAB4A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中书、门下始设立于唐朝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设政事堂出于分权制衡的需要</w:t>
      </w:r>
    </w:p>
    <w:p w14:paraId="01112B99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三省制出现了一体化的趋势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三省制强化了中央集权</w:t>
      </w:r>
    </w:p>
    <w:p w14:paraId="0AC24DC6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16．唐高宗在位时期，共有宰相41人，其中科举出身者13人；唐玄宗开元元年至二十二年（713—734年），宰相27人中科举出身的有18人。同时，科举出身的高级官员中，中下级官员和一般地主家庭出身的比重也在上升。这表明，科举制度（　　）</w:t>
      </w:r>
    </w:p>
    <w:p w14:paraId="5B2E5974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实现了政府选官的公平公正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已成为选官的主要方式</w:t>
      </w:r>
    </w:p>
    <w:p w14:paraId="1C2AA926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客观上优化了官僚队伍结构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注重社会各阶层的平衡</w:t>
      </w:r>
    </w:p>
    <w:p w14:paraId="2BA7C51D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17．下表为821——845年唐朝户口统计情况（单位：户）。导致表中户数变化的原因是（　　）</w:t>
      </w:r>
    </w:p>
    <w:tbl>
      <w:tblPr>
        <w:tblStyle w:val="TableGrid"/>
        <w:tblW w:w="6900" w:type="dxa"/>
        <w:tblInd w:w="4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0" w:type="dxa"/>
          <w:bottom w:w="0" w:type="dxa"/>
          <w:right w:w="0" w:type="dxa"/>
        </w:tblCellMar>
      </w:tblPr>
      <w:tblGrid>
        <w:gridCol w:w="3607"/>
        <w:gridCol w:w="3293"/>
      </w:tblGrid>
      <w:tr w14:paraId="7C42D103">
        <w:tblPrEx>
          <w:tblW w:w="6900" w:type="dxa"/>
          <w:tblInd w:w="42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607" w:type="dxa"/>
            <w:tcMar>
              <w:left w:w="119" w:type="dxa"/>
              <w:right w:w="119" w:type="dxa"/>
            </w:tcMar>
          </w:tcPr>
          <w:p w14:paraId="5E41A6C0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时间</w:t>
            </w:r>
          </w:p>
        </w:tc>
        <w:tc>
          <w:tcPr>
            <w:tcW w:w="3294" w:type="dxa"/>
            <w:tcMar>
              <w:left w:w="119" w:type="dxa"/>
              <w:right w:w="119" w:type="dxa"/>
            </w:tcMar>
          </w:tcPr>
          <w:p w14:paraId="17A6FCF4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户数</w:t>
            </w:r>
          </w:p>
        </w:tc>
      </w:tr>
      <w:tr w14:paraId="0E663E5D">
        <w:tblPrEx>
          <w:tblW w:w="6900" w:type="dxa"/>
          <w:tblInd w:w="420" w:type="dxa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607" w:type="dxa"/>
            <w:tcMar>
              <w:left w:w="119" w:type="dxa"/>
              <w:right w:w="119" w:type="dxa"/>
            </w:tcMar>
          </w:tcPr>
          <w:p w14:paraId="2A595F05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长庆元年（821年）</w:t>
            </w:r>
          </w:p>
        </w:tc>
        <w:tc>
          <w:tcPr>
            <w:tcW w:w="3294" w:type="dxa"/>
            <w:tcMar>
              <w:left w:w="119" w:type="dxa"/>
              <w:right w:w="119" w:type="dxa"/>
            </w:tcMar>
          </w:tcPr>
          <w:p w14:paraId="419F1144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2375805</w:t>
            </w:r>
          </w:p>
        </w:tc>
      </w:tr>
      <w:tr w14:paraId="71426BC4">
        <w:tblPrEx>
          <w:tblW w:w="6900" w:type="dxa"/>
          <w:tblInd w:w="420" w:type="dxa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607" w:type="dxa"/>
            <w:tcMar>
              <w:left w:w="119" w:type="dxa"/>
              <w:right w:w="119" w:type="dxa"/>
            </w:tcMar>
          </w:tcPr>
          <w:p w14:paraId="03733567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宝历年间（825——827年）</w:t>
            </w:r>
          </w:p>
        </w:tc>
        <w:tc>
          <w:tcPr>
            <w:tcW w:w="3294" w:type="dxa"/>
            <w:tcMar>
              <w:left w:w="119" w:type="dxa"/>
              <w:right w:w="119" w:type="dxa"/>
            </w:tcMar>
          </w:tcPr>
          <w:p w14:paraId="75D46C0F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3978982</w:t>
            </w:r>
          </w:p>
        </w:tc>
      </w:tr>
      <w:tr w14:paraId="6ECFFCA2">
        <w:tblPrEx>
          <w:tblW w:w="6900" w:type="dxa"/>
          <w:tblInd w:w="420" w:type="dxa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607" w:type="dxa"/>
            <w:tcMar>
              <w:left w:w="119" w:type="dxa"/>
              <w:right w:w="119" w:type="dxa"/>
            </w:tcMar>
          </w:tcPr>
          <w:p w14:paraId="1C2D22D6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大和年间（827——836年）</w:t>
            </w:r>
          </w:p>
        </w:tc>
        <w:tc>
          <w:tcPr>
            <w:tcW w:w="3294" w:type="dxa"/>
            <w:tcMar>
              <w:left w:w="119" w:type="dxa"/>
              <w:right w:w="119" w:type="dxa"/>
            </w:tcMar>
          </w:tcPr>
          <w:p w14:paraId="0A9E1D20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4357575</w:t>
            </w:r>
          </w:p>
        </w:tc>
      </w:tr>
      <w:tr w14:paraId="7366A4F4">
        <w:tblPrEx>
          <w:tblW w:w="6900" w:type="dxa"/>
          <w:tblInd w:w="420" w:type="dxa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3607" w:type="dxa"/>
            <w:tcMar>
              <w:left w:w="119" w:type="dxa"/>
              <w:right w:w="119" w:type="dxa"/>
            </w:tcMar>
          </w:tcPr>
          <w:p w14:paraId="3C1BD2E8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会昌五年（845年）</w:t>
            </w:r>
          </w:p>
        </w:tc>
        <w:tc>
          <w:tcPr>
            <w:tcW w:w="3294" w:type="dxa"/>
            <w:tcMar>
              <w:left w:w="119" w:type="dxa"/>
              <w:right w:w="119" w:type="dxa"/>
            </w:tcMar>
          </w:tcPr>
          <w:p w14:paraId="1276D218">
            <w:pPr>
              <w:jc w:val="center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4955151</w:t>
            </w:r>
          </w:p>
        </w:tc>
      </w:tr>
    </w:tbl>
    <w:p w14:paraId="43D3145C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均田制的推行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土地兼并的加重</w:t>
      </w:r>
    </w:p>
    <w:p w14:paraId="13C0E0AC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两税法的实施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租庸调制的发展</w:t>
      </w:r>
    </w:p>
    <w:p w14:paraId="6977D264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18．唐代佛教出现了面向寺院之外听众的通俗讲经活动，许多讲经的前段都以赞美皇帝、歌颂太平为主要内容，讲经过程中杂夹道教的长生不老和得道升天等观念。这反映了唐代（　　）</w:t>
      </w:r>
    </w:p>
    <w:p w14:paraId="34CF311A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佛教社会影响力上升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社会主流思想变化</w:t>
      </w:r>
    </w:p>
    <w:p w14:paraId="0B9B8612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佛道思想日益同质化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佛教的本土化转变</w:t>
      </w:r>
    </w:p>
    <w:p w14:paraId="687308EC">
      <w:pPr>
        <w:pStyle w:val="---"/>
        <w:spacing w:line="240" w:lineRule="auto"/>
        <w:ind w:left="420" w:hanging="315" w:leftChars="50" w:hangingChars="150"/>
        <w:rPr>
          <w:szCs w:val="21"/>
        </w:rPr>
      </w:pPr>
      <w:r>
        <w:rPr>
          <w:rFonts w:hint="eastAsia"/>
          <w:szCs w:val="21"/>
        </w:rPr>
        <w:t>19．新罗使用唐代年号，采用唐朝历法，汉字是官方文字，男女服装、婚丧嫁娶同汉族习俗一样。朝鲜半岛的留学生可以参加唐朝的科举考试，及第可以做官。这说明了当时（　　）</w:t>
      </w:r>
    </w:p>
    <w:p w14:paraId="202A4244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对外政策发生了根本性变化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唐朝的繁荣昌盛</w:t>
      </w:r>
    </w:p>
    <w:p w14:paraId="103D0033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唐文化兼具包容性和辐射力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中朝关系较和睦</w:t>
      </w:r>
    </w:p>
    <w:p w14:paraId="0F3D61AC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20．疆域的变化反映着朝代的更替，历史上曾多次出现三个政权并存的时期。下列不同时期的地图按时代排序正确的是（　　）</w:t>
      </w:r>
    </w:p>
    <w:p w14:paraId="40D8BF5A">
      <w:pPr>
        <w:pStyle w:val="---"/>
        <w:spacing w:line="240" w:lineRule="auto"/>
        <w:jc w:val="center"/>
        <w:rPr>
          <w:szCs w:val="21"/>
        </w:rPr>
      </w:pPr>
      <w:r>
        <w:rPr>
          <w:rFonts w:hint="eastAsia"/>
          <w:szCs w:val="21"/>
        </w:rPr>
        <w:drawing>
          <wp:inline distT="0" distB="0" distL="0" distR="0">
            <wp:extent cx="5037455" cy="3227070"/>
            <wp:effectExtent l="0" t="0" r="0" b="0"/>
            <wp:docPr id="4" name="../Upload/image/2024/11/12/2024111202593300746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../Upload/image/2024/11/12/202411120259330074621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0103" cy="324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1BE8E">
      <w:pPr>
        <w:pStyle w:val="---0"/>
        <w:tabs>
          <w:tab w:val="left" w:pos="2100"/>
          <w:tab w:val="left" w:pos="3780"/>
          <w:tab w:val="left" w:pos="546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①④②③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②③④①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④①③②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③②①④</w:t>
      </w:r>
    </w:p>
    <w:p w14:paraId="4D6825C7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21．宋朝人说：“本朝立法，以知州不足恃，又置通判分掌财赋之属。”通判作为一州第二把手，不但主管一州财政，还参与司法。一州兵民、钱谷、户口、赋役、狱讼等大事，必须要有通判的参与签名方可施行。这一做法（　　）</w:t>
      </w:r>
    </w:p>
    <w:p w14:paraId="2F7E151E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不利于地方积极性发挥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平衡了文官与武人地位</w:t>
      </w:r>
    </w:p>
    <w:p w14:paraId="12FCE0DD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铲除了地方割据的根源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极大加重了人民的负担</w:t>
      </w:r>
    </w:p>
    <w:p w14:paraId="0A4B4446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22．《辽史·百官志一》记载：契丹……官分南北，以国制治契丹，以汉制待汉人……北面治宫帐、部族、属国之政，南面治汉人州县、租赋、军马之事。因俗而治，得其宜矣。这一制度实行的主要原因是（　　）</w:t>
      </w:r>
    </w:p>
    <w:p w14:paraId="0486D792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辽朝统治区域人员较为复杂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契丹与各族间的矛盾尖锐</w:t>
      </w:r>
    </w:p>
    <w:p w14:paraId="4408C0F9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传承契丹族历史文化的需要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南北政治经济模式的差异</w:t>
      </w:r>
    </w:p>
    <w:p w14:paraId="1EDFEE7F">
      <w:pPr>
        <w:pStyle w:val="---"/>
        <w:spacing w:line="240" w:lineRule="auto"/>
        <w:ind w:left="445" w:hanging="420" w:leftChars="12" w:hangingChars="200"/>
        <w:rPr>
          <w:szCs w:val="21"/>
        </w:rPr>
      </w:pPr>
      <w:r>
        <w:rPr>
          <w:rFonts w:hint="eastAsia"/>
          <w:szCs w:val="21"/>
        </w:rPr>
        <w:t>23．金朝基本沿袭唐宋制度，同时保持了一套女真民族的管理系统，这套管理系统被称为（　　）</w:t>
      </w:r>
    </w:p>
    <w:p w14:paraId="0FCD300B">
      <w:pPr>
        <w:pStyle w:val="---0"/>
        <w:tabs>
          <w:tab w:val="left" w:pos="2100"/>
          <w:tab w:val="left" w:pos="3780"/>
          <w:tab w:val="left" w:pos="546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三省六部制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南、北面官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猛安谋克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行省制度</w:t>
      </w:r>
    </w:p>
    <w:p w14:paraId="4DB8C86C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24．元朝行省的划界原则，一改前代以山川形便为主的做法，明确以犬牙交错为主导……为了打破太行山之险，让腹里地跨太行山东西两侧，合并山东、山西、河北、蒙古等地。为了打破南岭之险，采取南北纵切的方法，让湖广行省越过南岭而有广西之地，又使江西行省跨过南岭而有广东之地。采取这种措施的主要原因在（　　）</w:t>
      </w:r>
    </w:p>
    <w:p w14:paraId="44EDBA71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降低政府行政效率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促进边疆地区发展</w:t>
      </w:r>
    </w:p>
    <w:p w14:paraId="6F164768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便利地方之间联系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加强中央集权统治</w:t>
      </w:r>
    </w:p>
    <w:p w14:paraId="44BE5020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25．北宋时，南方人在全国统一的科举考试中优势明显，朝廷被迫采取南北分卷制度，各自分配名额，分别录取。自南宋起，江浙一带尤其成为人才集中的地区。据此可知，实行南北分卷制度（　　）</w:t>
      </w:r>
    </w:p>
    <w:p w14:paraId="5414B277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确保了科举制度实施的公平公正</w:t>
      </w:r>
    </w:p>
    <w:p w14:paraId="390F6D13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消除了南北之间的经济文化差异</w:t>
      </w:r>
    </w:p>
    <w:p w14:paraId="1FD856AF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实现了南北地区人才分布的均衡</w:t>
      </w:r>
    </w:p>
    <w:p w14:paraId="498236D0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根植于经济重心的南移</w:t>
      </w:r>
    </w:p>
    <w:p w14:paraId="237DAF18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26．汉唐时期，对妇女贞节的要求相对比较宽松，妇女婚嫁也有一定自由。到南宋时，由于政府的大力推行和倡导，对妇女贞节的要求开始趋严。据此可知（　　）</w:t>
      </w:r>
    </w:p>
    <w:p w14:paraId="27B2E3EB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宋代婚姻习俗出现变化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传统儒家观念逐颠覆</w:t>
      </w:r>
    </w:p>
    <w:p w14:paraId="14DE6AB1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唐宋时期妇女地位下降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主流思想影响婚姻观念</w:t>
      </w:r>
    </w:p>
    <w:p w14:paraId="33AFC43F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27．北宋以紫色为尊贵颜色，宋太宗曾下诏禁止民间服紫，然“冒法者众”。当时的人们以“巧制新妆，竞夸华丽”、“愈厌而好新，月异而岁殊”为荣。这种好新求奇的风尚主要得益于宋代（　　）</w:t>
      </w:r>
    </w:p>
    <w:p w14:paraId="79086459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中央集权日益加强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社会环境相对宽松</w:t>
      </w:r>
    </w:p>
    <w:p w14:paraId="51FEA4C4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海外贸易繁荣发展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封建等级已经崩溃</w:t>
      </w:r>
    </w:p>
    <w:p w14:paraId="3103C58D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28．明朝万历前期，张居正任内阁首辅，大权在握，皇帝积极支持其工作。万历后期，皇帝对于日常政务多采取消极拖延态度，内阁成员却无可奈何。这些现象实质上反映了内阁运行（　　）</w:t>
      </w:r>
    </w:p>
    <w:p w14:paraId="78BE7D99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降低了中枢决策效率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附属皇权和独立性差</w:t>
      </w:r>
    </w:p>
    <w:p w14:paraId="3EE54C72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缺少民主协商的机制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依赖首辅的个人能力</w:t>
      </w:r>
    </w:p>
    <w:p w14:paraId="7DB2809C">
      <w:pPr>
        <w:pStyle w:val="---"/>
        <w:spacing w:line="240" w:lineRule="auto"/>
        <w:ind w:left="445" w:hanging="420" w:leftChars="12" w:hangingChars="200"/>
        <w:rPr>
          <w:szCs w:val="21"/>
        </w:rPr>
      </w:pPr>
      <w:r>
        <w:rPr>
          <w:rFonts w:hint="eastAsia"/>
          <w:szCs w:val="21"/>
        </w:rPr>
        <w:t>29．“通过海上丝绸之路推行经贸和文化交流，舰队这么强大却没有进行过任何侵略，而是调解纠纷，打击海盗。”此材料评述的历史事件是（　　）</w:t>
      </w:r>
    </w:p>
    <w:p w14:paraId="43FCE0A6">
      <w:pPr>
        <w:pStyle w:val="---0"/>
        <w:tabs>
          <w:tab w:val="left" w:pos="2100"/>
          <w:tab w:val="left" w:pos="3780"/>
          <w:tab w:val="left" w:pos="546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张骞通西域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鉴真东渡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郑和下西洋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戚继光抗倭</w:t>
      </w:r>
    </w:p>
    <w:p w14:paraId="5743236F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30．以下是某同学在研究性学习中整理的资料。据此判断，他研究的主题是（　　）</w:t>
      </w:r>
    </w:p>
    <w:tbl>
      <w:tblPr>
        <w:tblStyle w:val="TableGrid"/>
        <w:tblW w:w="7655" w:type="dxa"/>
        <w:tblInd w:w="4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0" w:type="dxa"/>
          <w:bottom w:w="0" w:type="dxa"/>
          <w:right w:w="0" w:type="dxa"/>
        </w:tblCellMar>
      </w:tblPr>
      <w:tblGrid>
        <w:gridCol w:w="7655"/>
      </w:tblGrid>
      <w:tr w14:paraId="295CBDA9">
        <w:tblPrEx>
          <w:tblW w:w="7655" w:type="dxa"/>
          <w:tblInd w:w="42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7655" w:type="dxa"/>
            <w:tcMar>
              <w:left w:w="119" w:type="dxa"/>
              <w:right w:w="119" w:type="dxa"/>
            </w:tcMar>
            <w:vAlign w:val="center"/>
          </w:tcPr>
          <w:p w14:paraId="45B33F14">
            <w:pPr>
              <w:jc w:val="left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东南：1684年，清朝设置台湾府，隶属福建省。</w:t>
            </w:r>
          </w:p>
          <w:p w14:paraId="0887AF5F">
            <w:pPr>
              <w:jc w:val="left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东北：1689年，清朝与沙皇俄国签订《尼布楚条约》，划定了东部边界。</w:t>
            </w:r>
          </w:p>
          <w:p w14:paraId="585F7F77">
            <w:pPr>
              <w:jc w:val="left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西南：1727年，清朝开始设置驻藏大臣，与达赖、班禅共同管理西藏事务。</w:t>
            </w:r>
          </w:p>
          <w:p w14:paraId="62A9DBA9">
            <w:pPr>
              <w:jc w:val="left"/>
              <w:rPr>
                <w:kern w:val="0"/>
                <w:sz w:val="21"/>
                <w:szCs w:val="21"/>
              </w:rPr>
            </w:pPr>
            <w:r>
              <w:rPr>
                <w:rFonts w:eastAsia="楷体_GB2312" w:hint="eastAsia"/>
                <w:kern w:val="0"/>
                <w:sz w:val="21"/>
                <w:szCs w:val="21"/>
              </w:rPr>
              <w:t>西北：清朝设置伊犁将军。</w:t>
            </w:r>
          </w:p>
        </w:tc>
      </w:tr>
    </w:tbl>
    <w:p w14:paraId="65E4B902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专制皇权发展到顶峰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统一多民族国家巩固</w:t>
      </w:r>
    </w:p>
    <w:p w14:paraId="129A7FE9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西方侵略与民族反抗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闭关锁国落后于世界</w:t>
      </w:r>
    </w:p>
    <w:p w14:paraId="4C29BCA0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31．有学者在评价清代奏折制度时说：“臣下缄封直达御前……雍正帝每于灯下披览，一日有多至数十通者……又因此等奏折来自四方，同一事有多人具告，如有错谬、虚报，可立时察出，帝即言辞切责，毫不假贷，具折者遂不得不报告真相。”由此可知，清代的奏折制度（　　）</w:t>
      </w:r>
    </w:p>
    <w:p w14:paraId="78361BB1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减轻了皇帝处理政务的负担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标志皇权专制达到顶峰</w:t>
      </w:r>
    </w:p>
    <w:p w14:paraId="4ED13FC6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扩大了政务决策的人选范围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有效地加强了君主专制</w:t>
      </w:r>
    </w:p>
    <w:p w14:paraId="4C886D1D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32．明中期，常熟地主谭晓用低价购买了大片空闲的低洼沼泽地，雇人治理。部分土地被改造为良田，……所凿水池养鱼，池上筑舍养猪，其余空地种植果木蔬菜，……农副产品运到市场，销售所得“视田之入复三倍”。类似新现象从明中期起逐渐多见。由此可知，明中期（　　）</w:t>
      </w:r>
    </w:p>
    <w:p w14:paraId="28CED7BD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乡村对城市市场的依赖性增强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自然经济开始解体</w:t>
      </w:r>
    </w:p>
    <w:p w14:paraId="22373E36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江南等地农业的多种经营日盛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资本主义萌芽产生</w:t>
      </w:r>
    </w:p>
    <w:p w14:paraId="3C5A5B35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33．下图为《坤舆万国全图》（摹本）根据图片，以下说法正确的是（　　）</w:t>
      </w:r>
    </w:p>
    <w:p w14:paraId="7169E5EE">
      <w:pPr>
        <w:pStyle w:val="---"/>
        <w:spacing w:line="240" w:lineRule="auto"/>
        <w:jc w:val="center"/>
        <w:rPr>
          <w:szCs w:val="21"/>
        </w:rPr>
      </w:pPr>
      <w:r>
        <w:rPr>
          <w:rFonts w:hint="eastAsia"/>
          <w:szCs w:val="21"/>
        </w:rPr>
        <w:drawing>
          <wp:inline distT="0" distB="0" distL="0" distR="0">
            <wp:extent cx="4317365" cy="2073275"/>
            <wp:effectExtent l="0" t="0" r="6985" b="3175"/>
            <wp:docPr id="2" name="../Upload/image/2024/11/18/2024111804584212170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../Upload/image/2024/11/18/202411180458421217041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18918" cy="2074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6C7F6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准确的反映了世界地理情况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传播了西方科技文化知识</w:t>
      </w:r>
    </w:p>
    <w:p w14:paraId="4751DC71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根据中国天圆地方理念绘制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受到中国士大夫广泛欢迎</w:t>
      </w:r>
    </w:p>
    <w:p w14:paraId="2A82BE1C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34．有学者指出，从国际法学史的角度看，“林则徐不仅是维护国际法原则的中流砥柱，而且也是引进国际法的第一人，是中国近代国际法学的开山者”。这一结论的形成，主要是基于林则徐（　　）</w:t>
      </w:r>
    </w:p>
    <w:p w14:paraId="74C3F097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在广东推行“虎门销烟“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主张“师夷长技以制夷”</w:t>
      </w:r>
    </w:p>
    <w:p w14:paraId="1BF1C872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创建了江南制造总局译书局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汇译了《四洲志》等书稿</w:t>
      </w:r>
    </w:p>
    <w:p w14:paraId="25A36CFF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35．鸦片战争以来，中国与西方之间的文化交流打破了平等均衡、长短互补的格局，中国近代社会各个阶层向西方学习的过程由此开始。以下符合近代中国向西方学习特点的是（　　）</w:t>
      </w:r>
    </w:p>
    <w:p w14:paraId="0999333B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zCs w:val="21"/>
        </w:rPr>
        <w:t>①中华文化遭受到了前所未有的冲击而导致走向衰落</w:t>
      </w:r>
    </w:p>
    <w:p w14:paraId="554F0193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zCs w:val="21"/>
        </w:rPr>
        <w:t>②对西方的认识经历了由被动接受到主动选择的过程</w:t>
      </w:r>
    </w:p>
    <w:p w14:paraId="52FC4582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zCs w:val="21"/>
        </w:rPr>
        <w:t>③学习西方的过程体现了强烈的反封建和反侵略性质</w:t>
      </w:r>
    </w:p>
    <w:p w14:paraId="330375A7">
      <w:pPr>
        <w:pStyle w:val="---0"/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zCs w:val="21"/>
        </w:rPr>
        <w:t>④经历了一个由器物到制度再到思想文化的深化过程</w:t>
      </w:r>
    </w:p>
    <w:p w14:paraId="26C550F3">
      <w:pPr>
        <w:pStyle w:val="---0"/>
        <w:tabs>
          <w:tab w:val="left" w:pos="2100"/>
          <w:tab w:val="left" w:pos="3780"/>
          <w:tab w:val="left" w:pos="546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①②③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①②④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①③④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②③④</w:t>
      </w:r>
    </w:p>
    <w:p w14:paraId="53F34BCE">
      <w:pPr>
        <w:pStyle w:val="---"/>
        <w:spacing w:line="240" w:lineRule="auto"/>
        <w:ind w:left="445" w:hanging="420" w:leftChars="12" w:hangingChars="200"/>
        <w:rPr>
          <w:szCs w:val="21"/>
        </w:rPr>
      </w:pPr>
      <w:r>
        <w:rPr>
          <w:rFonts w:hint="eastAsia"/>
          <w:szCs w:val="21"/>
        </w:rPr>
        <w:t>36．有学者认为：“《天朝田亩制度》只是个无名氏的纸上作业……太平军后来所实行的，还是最简单的老办法:‘照旧完粮纳税’。”这说明《天朝田亩制度》（　　）</w:t>
      </w:r>
    </w:p>
    <w:p w14:paraId="37B00311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未反映农民阶级现实愿望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是根本无法实现的空想</w:t>
      </w:r>
    </w:p>
    <w:p w14:paraId="767265DC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顺应了近代化的发展要求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揭示了民主革命的任务</w:t>
      </w:r>
    </w:p>
    <w:p w14:paraId="6C76E518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37．1876年，李鸿章筹办开平矿务局，其章程中指出“拟集资八十万两，分作八千股，每股津平足一百两，一股至千股皆可搭附。”1878年该局成立，产煤供应轮船招商局和天津机器局，也大量在市场上销售，获利甚厚。由此可知，开平矿务局（    ）</w:t>
      </w:r>
    </w:p>
    <w:p w14:paraId="283FC5CD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体现了洋务运动“求富”的意图</w:t>
      </w:r>
      <w:r>
        <w:rPr>
          <w:rFonts w:hint="eastAsia"/>
          <w:szCs w:val="21"/>
        </w:rPr>
        <w:tab/>
      </w:r>
    </w:p>
    <w:p w14:paraId="31941B85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在“自强”口号下开办的企业</w:t>
      </w:r>
    </w:p>
    <w:p w14:paraId="19F09330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助推清政府完成围剿太平天国运动的任务</w:t>
      </w:r>
    </w:p>
    <w:p w14:paraId="2C0F9293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阻止了西方列强对华经济侵略</w:t>
      </w:r>
    </w:p>
    <w:p w14:paraId="1DBA9C17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38．洋务派以“求富”之名，创办了一批民用企业，主要采用官办、官督商办、官商合办、商办四种经营方式，其产品或服务多直接面向市场，劳动力则多来自雇佣。由此可知，洋务运动时期的民用企业（　　）</w:t>
      </w:r>
    </w:p>
    <w:p w14:paraId="1B02D8E1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根绝了列强的经济侵略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是官办军事工业的附庸</w:t>
      </w:r>
    </w:p>
    <w:p w14:paraId="5746DDE5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具有一定示范带动作用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属于民族资本主义企业</w:t>
      </w:r>
    </w:p>
    <w:p w14:paraId="54BB6FD5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39．</w:t>
      </w:r>
      <w:r>
        <w:rPr>
          <w:szCs w:val="21"/>
        </w:rPr>
        <w:t>康有为在《孔子改制考》中将孔子尊奉为“改制教主”，“孔子道主</w:t>
      </w:r>
      <w:r>
        <w:rPr>
          <w:rFonts w:hint="eastAsia"/>
          <w:szCs w:val="21"/>
        </w:rPr>
        <w:t>进</w:t>
      </w:r>
      <w:r>
        <w:rPr>
          <w:szCs w:val="21"/>
        </w:rPr>
        <w:t>化，不主泥古，道主维新，不主守旧，时时进化，故时时维新”。康有为这样做的目的是（　　）</w:t>
      </w:r>
    </w:p>
    <w:p w14:paraId="35BE2FD2">
      <w:pPr>
        <w:pStyle w:val="---"/>
        <w:spacing w:line="240" w:lineRule="auto"/>
        <w:ind w:left="420" w:leftChars="200"/>
        <w:rPr>
          <w:szCs w:val="21"/>
        </w:rPr>
      </w:pPr>
      <w:r>
        <w:rPr>
          <w:szCs w:val="21"/>
        </w:rPr>
        <w:t>A.  倡导移风易俗</w:t>
      </w:r>
      <w:r>
        <w:rPr>
          <w:rFonts w:hint="eastAsia"/>
          <w:szCs w:val="21"/>
        </w:rPr>
        <w:t xml:space="preserve">                  </w:t>
      </w:r>
      <w:r>
        <w:rPr>
          <w:szCs w:val="21"/>
        </w:rPr>
        <w:t>B.  引进西方生产技术</w:t>
      </w:r>
    </w:p>
    <w:p w14:paraId="5C3D6547">
      <w:pPr>
        <w:pStyle w:val="---"/>
        <w:spacing w:line="240" w:lineRule="auto"/>
        <w:ind w:left="420" w:leftChars="200"/>
        <w:rPr>
          <w:szCs w:val="21"/>
        </w:rPr>
      </w:pPr>
      <w:r>
        <w:rPr>
          <w:szCs w:val="21"/>
        </w:rPr>
        <w:t>C.  实现扶清灭洋</w:t>
      </w:r>
      <w:r>
        <w:rPr>
          <w:rFonts w:hint="eastAsia"/>
          <w:szCs w:val="21"/>
        </w:rPr>
        <w:t xml:space="preserve">                  </w:t>
      </w:r>
      <w:r>
        <w:rPr>
          <w:szCs w:val="21"/>
        </w:rPr>
        <w:t>D.  为变法寻找理论的依据</w:t>
      </w:r>
    </w:p>
    <w:p w14:paraId="3A633467">
      <w:pPr>
        <w:pStyle w:val="---"/>
        <w:spacing w:line="240" w:lineRule="auto"/>
        <w:ind w:left="420" w:hanging="420" w:hangingChars="200"/>
        <w:rPr>
          <w:szCs w:val="21"/>
        </w:rPr>
      </w:pPr>
      <w:r>
        <w:rPr>
          <w:rFonts w:hint="eastAsia"/>
          <w:szCs w:val="21"/>
        </w:rPr>
        <w:t>40．1900年7月14日，闽浙总督许应骙同俄、英、美、日等六国签订《福建互保协定》，提出“鉴于两江、两湖、两广及安徽等省督抚与各国驻上海领事磋商后，现己同意采取互保措施……福建省当局已决定按照两江及上述各省所达成的协议行动”。这一协定（　　）</w:t>
      </w:r>
    </w:p>
    <w:p w14:paraId="0ADE2492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A．</w:t>
      </w:r>
      <w:r>
        <w:rPr>
          <w:rFonts w:hint="eastAsia"/>
          <w:szCs w:val="21"/>
        </w:rPr>
        <w:t>促使列强掀起瓜分中国的狂潮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B．</w:t>
      </w:r>
      <w:r>
        <w:rPr>
          <w:rFonts w:hint="eastAsia"/>
          <w:szCs w:val="21"/>
        </w:rPr>
        <w:t>表明清政府中央权威的式微</w:t>
      </w:r>
    </w:p>
    <w:p w14:paraId="072D9DA7">
      <w:pPr>
        <w:pStyle w:val="---0"/>
        <w:tabs>
          <w:tab w:val="left" w:pos="3780"/>
        </w:tabs>
        <w:autoSpaceDN w:val="0"/>
        <w:spacing w:line="240" w:lineRule="auto"/>
        <w:ind w:left="420"/>
        <w:rPr>
          <w:szCs w:val="21"/>
        </w:rPr>
      </w:pPr>
      <w:r>
        <w:rPr>
          <w:rFonts w:hint="eastAsia"/>
          <w:spacing w:val="25"/>
          <w:szCs w:val="21"/>
        </w:rPr>
        <w:t>C．</w:t>
      </w:r>
      <w:r>
        <w:rPr>
          <w:rFonts w:hint="eastAsia"/>
          <w:szCs w:val="21"/>
        </w:rPr>
        <w:t>是对清廷沦为洋人朝廷的回应</w:t>
      </w:r>
      <w:r>
        <w:rPr>
          <w:rFonts w:hint="eastAsia"/>
          <w:szCs w:val="21"/>
        </w:rPr>
        <w:tab/>
      </w:r>
      <w:r>
        <w:rPr>
          <w:rFonts w:hint="eastAsia"/>
          <w:spacing w:val="25"/>
          <w:szCs w:val="21"/>
        </w:rPr>
        <w:t>D．</w:t>
      </w:r>
      <w:r>
        <w:rPr>
          <w:rFonts w:hint="eastAsia"/>
          <w:szCs w:val="21"/>
        </w:rPr>
        <w:t>促成湘淮系官僚集团的崛起</w:t>
      </w:r>
    </w:p>
    <w:p w14:paraId="129F9849">
      <w:pPr>
        <w:pStyle w:val="---0"/>
        <w:tabs>
          <w:tab w:val="left" w:pos="3780"/>
        </w:tabs>
        <w:autoSpaceDN w:val="0"/>
        <w:spacing w:line="240" w:lineRule="auto"/>
        <w:rPr>
          <w:szCs w:val="21"/>
        </w:rPr>
      </w:pPr>
    </w:p>
    <w:p w14:paraId="2AD18A74">
      <w:pPr>
        <w:spacing w:line="360" w:lineRule="exact"/>
        <w:rPr>
          <w:rFonts w:ascii="黑体" w:eastAsia="黑体" w:hAnsi="黑体" w:hint="eastAsia"/>
          <w:sz w:val="24"/>
          <w:szCs w:val="24"/>
        </w:rPr>
      </w:pPr>
      <w:r>
        <w:rPr>
          <w:rFonts w:ascii="黑体" w:eastAsia="黑体" w:hAnsi="黑体"/>
          <w:b/>
          <w:sz w:val="24"/>
          <w:szCs w:val="24"/>
        </w:rPr>
        <w:t>二、非选择题：本题共</w:t>
      </w:r>
      <w:r>
        <w:rPr>
          <w:rFonts w:ascii="黑体" w:eastAsia="黑体" w:hAnsi="黑体" w:hint="eastAsia"/>
          <w:b/>
          <w:sz w:val="24"/>
          <w:szCs w:val="24"/>
        </w:rPr>
        <w:t>2</w:t>
      </w:r>
      <w:r>
        <w:rPr>
          <w:rFonts w:ascii="黑体" w:eastAsia="黑体" w:hAnsi="黑体"/>
          <w:b/>
          <w:sz w:val="24"/>
          <w:szCs w:val="24"/>
        </w:rPr>
        <w:t>小题，共</w:t>
      </w:r>
      <w:r>
        <w:rPr>
          <w:rFonts w:ascii="黑体" w:eastAsia="黑体" w:hAnsi="黑体" w:hint="eastAsia"/>
          <w:b/>
          <w:sz w:val="24"/>
          <w:szCs w:val="24"/>
        </w:rPr>
        <w:t>20</w:t>
      </w:r>
      <w:r>
        <w:rPr>
          <w:rFonts w:ascii="黑体" w:eastAsia="黑体" w:hAnsi="黑体"/>
          <w:b/>
          <w:sz w:val="24"/>
          <w:szCs w:val="24"/>
        </w:rPr>
        <w:t>分。</w:t>
      </w:r>
    </w:p>
    <w:p w14:paraId="7C748532">
      <w:pPr>
        <w:pStyle w:val="---1"/>
      </w:pPr>
      <w:r>
        <w:rPr>
          <w:rFonts w:hint="eastAsia"/>
        </w:rPr>
        <w:t>41．阅读材料，回答问题。（10分）</w:t>
      </w:r>
    </w:p>
    <w:p w14:paraId="1D26C8B3">
      <w:pPr>
        <w:pStyle w:val="----0"/>
        <w:rPr>
          <w:rFonts w:hint="eastAsia"/>
        </w:rPr>
      </w:pPr>
      <w:r>
        <w:rPr>
          <w:rFonts w:hint="eastAsia"/>
        </w:rPr>
        <w:t>材料一</w:t>
      </w:r>
    </w:p>
    <w:p w14:paraId="73EE467A">
      <w:pPr>
        <w:pStyle w:val="----"/>
      </w:pPr>
      <w:r>
        <w:rPr>
          <w:rFonts w:hint="eastAsia"/>
        </w:rPr>
        <w:t>元光元年，“初令郡国举孝廉各一人”。此后，郡国每岁荐举孝廉，由朝廷加以考核，任命为官，成为定制。</w:t>
      </w:r>
    </w:p>
    <w:p w14:paraId="1712B327">
      <w:pPr>
        <w:pStyle w:val="----1"/>
      </w:pPr>
      <w:r>
        <w:rPr>
          <w:rFonts w:hint="eastAsia"/>
        </w:rPr>
        <w:t>——据阎步克《汉选官制变迁史稿》</w:t>
      </w:r>
    </w:p>
    <w:p w14:paraId="436FAA52">
      <w:pPr>
        <w:pStyle w:val="----0"/>
        <w:rPr>
          <w:rFonts w:hint="eastAsia"/>
        </w:rPr>
      </w:pPr>
      <w:r>
        <w:rPr>
          <w:rFonts w:hint="eastAsia"/>
        </w:rPr>
        <w:t>材料二</w:t>
      </w:r>
    </w:p>
    <w:p w14:paraId="2DE5ECBF">
      <w:pPr>
        <w:pStyle w:val="----"/>
      </w:pPr>
      <w:r>
        <w:rPr>
          <w:rFonts w:hint="eastAsia"/>
        </w:rPr>
        <w:t>魏晋以后，门阀政治影响及于选才，“高门华族，有世及之荣；庶族寒门，无寸进之路。”隋唐通过分科考试选拔官员，扭转了这种局面。科举制改善了之前的用人制度，彻底打破血缘世袭关系和世族的垄断；“朝为田舍郎，暮登天子堂”，部分社会中下层有能力的读书人进入社会上层，改善了古代中国的选人、用人制度，从一定程度上体现了公平、正义；同时，选拔人才和官吏任命的权力也从地方集中到中央，为统治者吸收、笼络人才拓宽了道路同时对学校教育具有导向作用，使教育带上了浓厚的政治色彩。而进学读书又是参加科举考试的前提，这就引起社会各阶层对学校教育的重视，对后世具有深远的影响。</w:t>
      </w:r>
    </w:p>
    <w:p w14:paraId="68B836DF">
      <w:pPr>
        <w:pStyle w:val="----1"/>
      </w:pPr>
      <w:r>
        <w:rPr>
          <w:rFonts w:hint="eastAsia"/>
        </w:rPr>
        <w:t>——改编自《唐代科举制度研究》</w:t>
      </w:r>
    </w:p>
    <w:p w14:paraId="60154301">
      <w:pPr>
        <w:pStyle w:val="---1"/>
        <w:ind w:left="525" w:hanging="525" w:hangingChars="250"/>
      </w:pPr>
      <w:r>
        <w:rPr>
          <w:rFonts w:hint="eastAsia"/>
        </w:rPr>
        <w:t>（1）上述材料中所体现的古代选官制度有哪些？（3分）</w:t>
      </w:r>
    </w:p>
    <w:p w14:paraId="685415C1">
      <w:pPr>
        <w:pStyle w:val="---1"/>
        <w:ind w:left="525" w:hanging="525" w:hangingChars="250"/>
      </w:pPr>
    </w:p>
    <w:p w14:paraId="02435465">
      <w:pPr>
        <w:pStyle w:val="---1"/>
        <w:ind w:left="525" w:hanging="525" w:hangingChars="250"/>
      </w:pPr>
    </w:p>
    <w:p w14:paraId="4A3A6105">
      <w:pPr>
        <w:pStyle w:val="---1"/>
        <w:ind w:left="525" w:hanging="525" w:hangingChars="250"/>
      </w:pPr>
    </w:p>
    <w:p w14:paraId="02377B0B">
      <w:pPr>
        <w:pStyle w:val="---1"/>
        <w:ind w:left="525" w:hanging="525" w:hangingChars="250"/>
      </w:pPr>
      <w:r>
        <w:rPr>
          <w:rFonts w:hint="eastAsia"/>
        </w:rPr>
        <w:t>（2）根据材料二并结合所学知识评价科举制的影响？（7分）</w:t>
      </w:r>
    </w:p>
    <w:p w14:paraId="07462E84"/>
    <w:p w14:paraId="17C04D12"/>
    <w:p w14:paraId="694DB051"/>
    <w:p w14:paraId="2A733BD8">
      <w:pPr>
        <w:pStyle w:val="---1"/>
      </w:pPr>
      <w:r>
        <w:rPr>
          <w:rFonts w:hint="eastAsia"/>
        </w:rPr>
        <w:t>42．阅读材料，完成下列要求。（10分）</w:t>
      </w:r>
    </w:p>
    <w:p w14:paraId="21CBA8A9">
      <w:pPr>
        <w:pStyle w:val="----0"/>
        <w:rPr>
          <w:rFonts w:hint="eastAsia"/>
        </w:rPr>
      </w:pPr>
      <w:r>
        <w:rPr>
          <w:rFonts w:hint="eastAsia"/>
        </w:rPr>
        <w:t>材料一</w:t>
      </w:r>
    </w:p>
    <w:p w14:paraId="1D12110C">
      <w:pPr>
        <w:pStyle w:val="----"/>
      </w:pPr>
      <w:r>
        <w:rPr>
          <w:rFonts w:hint="eastAsia"/>
        </w:rPr>
        <w:t>19世纪40年代，中国出现了一些介绍西方世界和西方文化的著作，1844年，魏源编成《海国图志》，并提出“师夷长技以制夷”的思想，1845年姚莹写成《康輶纪行》，1848年徐继畬编成《瀛寰志略》，何秋涛著成《朔方备乘》，梁廷枏写成《海国四说》。这些著作，有些是关于世界地理历史的，有的是关于中外关系的。这一时期中国人所看到的还仅是西方的物质文明，并且主要是坚船利炮，因此最初表现出来的学习西方的意向也主要是仿造船炮。</w:t>
      </w:r>
    </w:p>
    <w:p w14:paraId="5924AEEF">
      <w:pPr>
        <w:pStyle w:val="----1"/>
      </w:pPr>
      <w:r>
        <w:rPr>
          <w:rFonts w:hint="eastAsia"/>
        </w:rPr>
        <w:t>——摘编自张岱年、方克立主编《中国文化概论》</w:t>
      </w:r>
    </w:p>
    <w:p w14:paraId="6F57DBCA">
      <w:pPr>
        <w:pStyle w:val="----0"/>
        <w:rPr>
          <w:rFonts w:hint="eastAsia"/>
        </w:rPr>
      </w:pPr>
      <w:r>
        <w:rPr>
          <w:rFonts w:hint="eastAsia"/>
        </w:rPr>
        <w:t>材料二</w:t>
      </w:r>
    </w:p>
    <w:p w14:paraId="1897D3D7">
      <w:pPr>
        <w:pStyle w:val="----"/>
      </w:pPr>
      <w:r>
        <w:rPr>
          <w:rFonts w:hint="eastAsia"/>
        </w:rPr>
        <w:t>在中国早期现代化的进程中，如果说洋务运动是中国早期现代化的器物层次探索阶段，那么戊戌维新使它开始进入制度层次探索阶段，而戊戌维新改良式的制度探索不成功时，则以辛亥革命为标志的暴力革命，破旧立新，继而进行制度改革，试图以此使中国尽快走上现代化之路。</w:t>
      </w:r>
    </w:p>
    <w:p w14:paraId="13A69189">
      <w:pPr>
        <w:pStyle w:val="----1"/>
      </w:pPr>
      <w:r>
        <w:rPr>
          <w:rFonts w:hint="eastAsia"/>
        </w:rPr>
        <w:t>——摘编自陈星海《论维新变法在中国早期现代化进程中的地位》</w:t>
      </w:r>
    </w:p>
    <w:p w14:paraId="79951DBE">
      <w:pPr>
        <w:pStyle w:val="---1"/>
        <w:ind w:left="525" w:hanging="525" w:hangingChars="250"/>
      </w:pPr>
      <w:r>
        <w:rPr>
          <w:rFonts w:hint="eastAsia"/>
        </w:rPr>
        <w:t>（1）根据材料一并结合所学知识，从方式上和内容上概括19世纪40年代中国先进知识分子“开眼看世界”的特点，并分析其影响。（4分）</w:t>
      </w:r>
    </w:p>
    <w:p w14:paraId="539C8D4F">
      <w:pPr>
        <w:pStyle w:val="---1"/>
        <w:ind w:left="525" w:hanging="525" w:hangingChars="250"/>
      </w:pPr>
    </w:p>
    <w:p w14:paraId="68A3061F">
      <w:pPr>
        <w:pStyle w:val="----0"/>
        <w:rPr>
          <w:rFonts w:hint="eastAsia"/>
        </w:rPr>
      </w:pPr>
    </w:p>
    <w:p w14:paraId="3EE8E8E1">
      <w:pPr>
        <w:pStyle w:val="----0"/>
        <w:rPr>
          <w:rFonts w:hint="eastAsia"/>
        </w:rPr>
      </w:pPr>
    </w:p>
    <w:p w14:paraId="512EB617">
      <w:pPr>
        <w:pStyle w:val="---1"/>
        <w:ind w:left="525" w:hanging="525" w:hangingChars="250"/>
      </w:pPr>
      <w:r>
        <w:rPr>
          <w:rFonts w:hint="eastAsia"/>
        </w:rPr>
        <w:t>（2）根据材料二并结合所学知识，指出中国在探索早期现代化进程中内容和方式的变化，并分析其原因。（6分）</w:t>
      </w:r>
    </w:p>
    <w:p w14:paraId="01848267">
      <w:pPr>
        <w:jc w:val="left"/>
        <w:rPr>
          <w:rFonts w:ascii="宋体" w:hAnsi="宋体" w:hint="eastAsia"/>
        </w:rPr>
      </w:pPr>
    </w:p>
    <w:sectPr>
      <w:pgSz w:w="10433" w:h="14742"/>
      <w:pgMar w:top="1440" w:right="1080" w:bottom="1440" w:left="108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DengXian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楷体_GB2312">
    <w:altName w:val="楷体"/>
    <w:panose1 w:val="00000000000000000000"/>
    <w:charset w:val="86"/>
    <w:family w:val="roma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0D99"/>
    <w:rsid w:val="00054773"/>
    <w:rsid w:val="0007541E"/>
    <w:rsid w:val="000A22ED"/>
    <w:rsid w:val="000C620C"/>
    <w:rsid w:val="000C6E04"/>
    <w:rsid w:val="000E2F25"/>
    <w:rsid w:val="000E73FD"/>
    <w:rsid w:val="000F477D"/>
    <w:rsid w:val="00102B07"/>
    <w:rsid w:val="00145228"/>
    <w:rsid w:val="00152912"/>
    <w:rsid w:val="00152FBF"/>
    <w:rsid w:val="00156B48"/>
    <w:rsid w:val="001827DE"/>
    <w:rsid w:val="00192BA7"/>
    <w:rsid w:val="001B72D0"/>
    <w:rsid w:val="001C1324"/>
    <w:rsid w:val="001D58B5"/>
    <w:rsid w:val="00200D99"/>
    <w:rsid w:val="00201E49"/>
    <w:rsid w:val="00251B44"/>
    <w:rsid w:val="002660E9"/>
    <w:rsid w:val="0027021C"/>
    <w:rsid w:val="00271573"/>
    <w:rsid w:val="00273FC7"/>
    <w:rsid w:val="00275CD2"/>
    <w:rsid w:val="00281349"/>
    <w:rsid w:val="002963E4"/>
    <w:rsid w:val="002A202D"/>
    <w:rsid w:val="002B64B8"/>
    <w:rsid w:val="002C4863"/>
    <w:rsid w:val="002E592F"/>
    <w:rsid w:val="002F5C6A"/>
    <w:rsid w:val="00304AF1"/>
    <w:rsid w:val="00316BC9"/>
    <w:rsid w:val="00320E49"/>
    <w:rsid w:val="00322843"/>
    <w:rsid w:val="00325025"/>
    <w:rsid w:val="003578B0"/>
    <w:rsid w:val="00372C52"/>
    <w:rsid w:val="00384AFD"/>
    <w:rsid w:val="00385569"/>
    <w:rsid w:val="0038598A"/>
    <w:rsid w:val="00390A76"/>
    <w:rsid w:val="003A081C"/>
    <w:rsid w:val="003B46BA"/>
    <w:rsid w:val="003E02E2"/>
    <w:rsid w:val="003E7F7E"/>
    <w:rsid w:val="003F0DCB"/>
    <w:rsid w:val="004151FC"/>
    <w:rsid w:val="00417FF0"/>
    <w:rsid w:val="004418DF"/>
    <w:rsid w:val="004428DE"/>
    <w:rsid w:val="00467B41"/>
    <w:rsid w:val="00487441"/>
    <w:rsid w:val="0048798E"/>
    <w:rsid w:val="004A27EA"/>
    <w:rsid w:val="004A7410"/>
    <w:rsid w:val="004B1F14"/>
    <w:rsid w:val="004C64FA"/>
    <w:rsid w:val="004D279E"/>
    <w:rsid w:val="004D5542"/>
    <w:rsid w:val="004E23C8"/>
    <w:rsid w:val="004E458C"/>
    <w:rsid w:val="004E75B0"/>
    <w:rsid w:val="004F70AA"/>
    <w:rsid w:val="00505D94"/>
    <w:rsid w:val="0051394D"/>
    <w:rsid w:val="005211DD"/>
    <w:rsid w:val="00526776"/>
    <w:rsid w:val="0054415D"/>
    <w:rsid w:val="005524CC"/>
    <w:rsid w:val="00560323"/>
    <w:rsid w:val="00572175"/>
    <w:rsid w:val="005901D2"/>
    <w:rsid w:val="005C2C16"/>
    <w:rsid w:val="005C3A95"/>
    <w:rsid w:val="005D2280"/>
    <w:rsid w:val="00607AB4"/>
    <w:rsid w:val="0062550D"/>
    <w:rsid w:val="00656316"/>
    <w:rsid w:val="00674952"/>
    <w:rsid w:val="00694C5B"/>
    <w:rsid w:val="006A6126"/>
    <w:rsid w:val="006C1433"/>
    <w:rsid w:val="006C3157"/>
    <w:rsid w:val="006F189A"/>
    <w:rsid w:val="00723B88"/>
    <w:rsid w:val="007551A8"/>
    <w:rsid w:val="00800E46"/>
    <w:rsid w:val="008322B2"/>
    <w:rsid w:val="00833F07"/>
    <w:rsid w:val="00834A27"/>
    <w:rsid w:val="00837341"/>
    <w:rsid w:val="00850629"/>
    <w:rsid w:val="008646BD"/>
    <w:rsid w:val="00887340"/>
    <w:rsid w:val="008A68EC"/>
    <w:rsid w:val="008B7C80"/>
    <w:rsid w:val="008C582C"/>
    <w:rsid w:val="008C7F10"/>
    <w:rsid w:val="008D7DF5"/>
    <w:rsid w:val="008E7EB9"/>
    <w:rsid w:val="008F6265"/>
    <w:rsid w:val="00903B8A"/>
    <w:rsid w:val="00960165"/>
    <w:rsid w:val="0099040A"/>
    <w:rsid w:val="009B2DB4"/>
    <w:rsid w:val="009B7737"/>
    <w:rsid w:val="009C6841"/>
    <w:rsid w:val="009D0E39"/>
    <w:rsid w:val="009E4B7B"/>
    <w:rsid w:val="009E580D"/>
    <w:rsid w:val="009F373E"/>
    <w:rsid w:val="00A0338C"/>
    <w:rsid w:val="00A04230"/>
    <w:rsid w:val="00A3156C"/>
    <w:rsid w:val="00A315E5"/>
    <w:rsid w:val="00A32D7C"/>
    <w:rsid w:val="00A5679A"/>
    <w:rsid w:val="00A67C3A"/>
    <w:rsid w:val="00A70D38"/>
    <w:rsid w:val="00A75EAC"/>
    <w:rsid w:val="00A919C4"/>
    <w:rsid w:val="00A9516A"/>
    <w:rsid w:val="00AC14E4"/>
    <w:rsid w:val="00AC2529"/>
    <w:rsid w:val="00AC3C2A"/>
    <w:rsid w:val="00AD38D5"/>
    <w:rsid w:val="00AD60CE"/>
    <w:rsid w:val="00AD7C4C"/>
    <w:rsid w:val="00B072D9"/>
    <w:rsid w:val="00B07513"/>
    <w:rsid w:val="00B22033"/>
    <w:rsid w:val="00B276AB"/>
    <w:rsid w:val="00B3422E"/>
    <w:rsid w:val="00B404EB"/>
    <w:rsid w:val="00B41B14"/>
    <w:rsid w:val="00B53D88"/>
    <w:rsid w:val="00B806EA"/>
    <w:rsid w:val="00B86F84"/>
    <w:rsid w:val="00BB1AA8"/>
    <w:rsid w:val="00BC780D"/>
    <w:rsid w:val="00BF680B"/>
    <w:rsid w:val="00BF6ADB"/>
    <w:rsid w:val="00C02FC6"/>
    <w:rsid w:val="00C730BE"/>
    <w:rsid w:val="00C96339"/>
    <w:rsid w:val="00CA6068"/>
    <w:rsid w:val="00CB62F4"/>
    <w:rsid w:val="00CC21C5"/>
    <w:rsid w:val="00CE236B"/>
    <w:rsid w:val="00CE64FA"/>
    <w:rsid w:val="00D00623"/>
    <w:rsid w:val="00D15638"/>
    <w:rsid w:val="00D17EFD"/>
    <w:rsid w:val="00D56367"/>
    <w:rsid w:val="00D5791F"/>
    <w:rsid w:val="00D8041C"/>
    <w:rsid w:val="00D81E94"/>
    <w:rsid w:val="00D8332F"/>
    <w:rsid w:val="00D92733"/>
    <w:rsid w:val="00D97E0B"/>
    <w:rsid w:val="00DB274F"/>
    <w:rsid w:val="00DC5193"/>
    <w:rsid w:val="00DF1B49"/>
    <w:rsid w:val="00DF41D9"/>
    <w:rsid w:val="00E02421"/>
    <w:rsid w:val="00E105D0"/>
    <w:rsid w:val="00E32A28"/>
    <w:rsid w:val="00E4653F"/>
    <w:rsid w:val="00E60A26"/>
    <w:rsid w:val="00EB2362"/>
    <w:rsid w:val="00ED7BDB"/>
    <w:rsid w:val="00EF078B"/>
    <w:rsid w:val="00EF496B"/>
    <w:rsid w:val="00F01CF3"/>
    <w:rsid w:val="00F20D94"/>
    <w:rsid w:val="00F240CA"/>
    <w:rsid w:val="00F369E7"/>
    <w:rsid w:val="00F41298"/>
    <w:rsid w:val="00F424E9"/>
    <w:rsid w:val="00F621ED"/>
    <w:rsid w:val="00F63312"/>
    <w:rsid w:val="00F63F07"/>
    <w:rsid w:val="00F67B2B"/>
    <w:rsid w:val="00F95DC9"/>
    <w:rsid w:val="00FB5FEC"/>
    <w:rsid w:val="00FD2CA4"/>
    <w:rsid w:val="4A0F505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/>
    <w:lsdException w:name="footer" w:semiHidden="0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0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0"/>
      <w:lang w:val="en-US" w:eastAsia="zh-CN" w:bidi="ar-SA"/>
    </w:rPr>
  </w:style>
  <w:style w:type="paragraph" w:styleId="Heading1">
    <w:name w:val="heading 1"/>
    <w:basedOn w:val="Normal"/>
    <w:next w:val="Normal"/>
    <w:link w:val="1"/>
    <w:uiPriority w:val="9"/>
    <w:qFormat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104862" w:themeColor="accent1" w:themeShade="BF"/>
      <w:sz w:val="48"/>
      <w:szCs w:val="48"/>
      <w14:ligatures w14:val="standardContextual"/>
    </w:rPr>
  </w:style>
  <w:style w:type="paragraph" w:styleId="Heading2">
    <w:name w:val="heading 2"/>
    <w:basedOn w:val="Normal"/>
    <w:next w:val="Normal"/>
    <w:link w:val="2"/>
    <w:uiPriority w:val="9"/>
    <w:semiHidden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104862" w:themeColor="accent1" w:themeShade="BF"/>
      <w:sz w:val="40"/>
      <w:szCs w:val="40"/>
      <w14:ligatures w14:val="standardContextual"/>
    </w:rPr>
  </w:style>
  <w:style w:type="paragraph" w:styleId="Heading3">
    <w:name w:val="heading 3"/>
    <w:basedOn w:val="Normal"/>
    <w:next w:val="Normal"/>
    <w:link w:val="3"/>
    <w:uiPriority w:val="9"/>
    <w:semiHidden/>
    <w:unhideWhenUsed/>
    <w:qFormat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104862" w:themeColor="accent1" w:themeShade="BF"/>
      <w:sz w:val="32"/>
      <w:szCs w:val="32"/>
      <w14:ligatures w14:val="standardContextual"/>
    </w:rPr>
  </w:style>
  <w:style w:type="paragraph" w:styleId="Heading4">
    <w:name w:val="heading 4"/>
    <w:basedOn w:val="Normal"/>
    <w:next w:val="Normal"/>
    <w:link w:val="4"/>
    <w:uiPriority w:val="9"/>
    <w:semiHidden/>
    <w:unhideWhenUsed/>
    <w:qFormat/>
    <w:pPr>
      <w:keepNext/>
      <w:keepLines/>
      <w:spacing w:before="80" w:after="40"/>
      <w:outlineLvl w:val="3"/>
    </w:pPr>
    <w:rPr>
      <w:rFonts w:asciiTheme="minorHAnsi" w:eastAsiaTheme="minorEastAsia" w:hAnsiTheme="minorHAnsi" w:cstheme="majorBidi"/>
      <w:color w:val="104862" w:themeColor="accent1" w:themeShade="BF"/>
      <w:sz w:val="28"/>
      <w:szCs w:val="28"/>
      <w14:ligatures w14:val="standardContextual"/>
    </w:rPr>
  </w:style>
  <w:style w:type="paragraph" w:styleId="Heading5">
    <w:name w:val="heading 5"/>
    <w:basedOn w:val="Normal"/>
    <w:next w:val="Normal"/>
    <w:link w:val="5"/>
    <w:uiPriority w:val="9"/>
    <w:semiHidden/>
    <w:unhideWhenUsed/>
    <w:qFormat/>
    <w:pPr>
      <w:keepNext/>
      <w:keepLines/>
      <w:spacing w:before="80" w:after="40"/>
      <w:outlineLvl w:val="4"/>
    </w:pPr>
    <w:rPr>
      <w:rFonts w:asciiTheme="minorHAnsi" w:eastAsiaTheme="minorEastAsia" w:hAnsiTheme="minorHAnsi" w:cstheme="majorBidi"/>
      <w:color w:val="104862" w:themeColor="accent1" w:themeShade="BF"/>
      <w:sz w:val="24"/>
      <w:szCs w:val="24"/>
      <w14:ligatures w14:val="standardContextual"/>
    </w:rPr>
  </w:style>
  <w:style w:type="paragraph" w:styleId="Heading6">
    <w:name w:val="heading 6"/>
    <w:basedOn w:val="Normal"/>
    <w:next w:val="Normal"/>
    <w:link w:val="6"/>
    <w:uiPriority w:val="9"/>
    <w:semiHidden/>
    <w:unhideWhenUsed/>
    <w:qFormat/>
    <w:pPr>
      <w:keepNext/>
      <w:keepLines/>
      <w:spacing w:before="40"/>
      <w:outlineLvl w:val="5"/>
    </w:pPr>
    <w:rPr>
      <w:rFonts w:asciiTheme="minorHAnsi" w:eastAsiaTheme="minorEastAsia" w:hAnsiTheme="minorHAnsi" w:cstheme="majorBidi"/>
      <w:b/>
      <w:bCs/>
      <w:color w:val="104862" w:themeColor="accent1" w:themeShade="BF"/>
      <w:szCs w:val="22"/>
      <w14:ligatures w14:val="standardContextual"/>
    </w:rPr>
  </w:style>
  <w:style w:type="paragraph" w:styleId="Heading7">
    <w:name w:val="heading 7"/>
    <w:basedOn w:val="Normal"/>
    <w:next w:val="Normal"/>
    <w:link w:val="7"/>
    <w:uiPriority w:val="9"/>
    <w:semiHidden/>
    <w:unhideWhenUsed/>
    <w:qFormat/>
    <w:pPr>
      <w:keepNext/>
      <w:keepLines/>
      <w:spacing w:before="40"/>
      <w:outlineLvl w:val="6"/>
    </w:pPr>
    <w:rPr>
      <w:rFonts w:asciiTheme="minorHAnsi" w:eastAsiaTheme="minorEastAsia" w:hAnsiTheme="minorHAnsi" w:cstheme="majorBidi"/>
      <w:b/>
      <w:bCs/>
      <w:color w:val="595959" w:themeColor="text1" w:themeTint="A6"/>
      <w:szCs w:val="22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paragraph" w:styleId="Heading8">
    <w:name w:val="heading 8"/>
    <w:basedOn w:val="Normal"/>
    <w:next w:val="Normal"/>
    <w:link w:val="8"/>
    <w:uiPriority w:val="9"/>
    <w:semiHidden/>
    <w:unhideWhenUsed/>
    <w:qFormat/>
    <w:pPr>
      <w:keepNext/>
      <w:keepLines/>
      <w:outlineLvl w:val="7"/>
    </w:pPr>
    <w:rPr>
      <w:rFonts w:asciiTheme="minorHAnsi" w:eastAsiaTheme="minorEastAsia" w:hAnsiTheme="minorHAnsi" w:cstheme="majorBidi"/>
      <w:color w:val="595959" w:themeColor="text1" w:themeTint="A6"/>
      <w:szCs w:val="22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paragraph" w:styleId="Heading9">
    <w:name w:val="heading 9"/>
    <w:basedOn w:val="Normal"/>
    <w:next w:val="Normal"/>
    <w:link w:val="9"/>
    <w:uiPriority w:val="9"/>
    <w:semiHidden/>
    <w:unhideWhenUsed/>
    <w:qFormat/>
    <w:pPr>
      <w:keepNext/>
      <w:keepLines/>
      <w:outlineLvl w:val="8"/>
    </w:pPr>
    <w:rPr>
      <w:rFonts w:asciiTheme="minorHAnsi" w:eastAsiaTheme="majorEastAsia" w:hAnsiTheme="minorHAnsi" w:cstheme="majorBidi"/>
      <w:color w:val="595959" w:themeColor="text1" w:themeTint="A6"/>
      <w:szCs w:val="22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  <w14:ligatures w14:val="standardContextual"/>
    </w:rPr>
  </w:style>
  <w:style w:type="paragraph" w:styleId="Header">
    <w:name w:val="header"/>
    <w:basedOn w:val="Normal"/>
    <w:link w:val="a3"/>
    <w:uiPriority w:val="99"/>
    <w:unhideWhenUsed/>
    <w:pP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  <w14:ligatures w14:val="standardContextual"/>
    </w:rPr>
  </w:style>
  <w:style w:type="paragraph" w:styleId="Subtitle">
    <w:name w:val="Subtitle"/>
    <w:basedOn w:val="Normal"/>
    <w:next w:val="Normal"/>
    <w:link w:val="a0"/>
    <w:uiPriority w:val="11"/>
    <w:qFormat/>
    <w:p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paragraph" w:styleId="NormalWeb">
    <w:name w:val="Normal (Web)"/>
    <w:basedOn w:val="Normal"/>
    <w:uiPriority w:val="99"/>
    <w:semiHidden/>
    <w:unhideWhenUsed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Title">
    <w:name w:val="Title"/>
    <w:basedOn w:val="Normal"/>
    <w:next w:val="Normal"/>
    <w:link w:val="a"/>
    <w:uiPriority w:val="10"/>
    <w:qFormat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table" w:styleId="TableGrid">
    <w:name w:val="Table Grid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">
    <w:name w:val="标题 1 字符"/>
    <w:basedOn w:val="DefaultParagraphFont"/>
    <w:link w:val="Heading1"/>
    <w:uiPriority w:val="9"/>
    <w:rPr>
      <w:rFonts w:asciiTheme="majorHAnsi" w:eastAsiaTheme="majorEastAsia" w:hAnsiTheme="majorHAnsi" w:cstheme="majorBidi"/>
      <w:color w:val="104862" w:themeColor="accent1" w:themeShade="BF"/>
      <w:sz w:val="48"/>
      <w:szCs w:val="48"/>
    </w:rPr>
  </w:style>
  <w:style w:type="character" w:customStyle="1" w:styleId="2">
    <w:name w:val="标题 2 字符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color w:val="104862" w:themeColor="accent1" w:themeShade="BF"/>
      <w:sz w:val="40"/>
      <w:szCs w:val="40"/>
    </w:rPr>
  </w:style>
  <w:style w:type="character" w:customStyle="1" w:styleId="3">
    <w:name w:val="标题 3 字符"/>
    <w:basedOn w:val="DefaultParagraphFont"/>
    <w:link w:val="Heading3"/>
    <w:uiPriority w:val="9"/>
    <w:semiHidden/>
    <w:qFormat/>
    <w:rPr>
      <w:rFonts w:asciiTheme="majorHAnsi" w:eastAsiaTheme="majorEastAsia" w:hAnsiTheme="majorHAnsi" w:cstheme="majorBidi"/>
      <w:color w:val="104862" w:themeColor="accent1" w:themeShade="BF"/>
      <w:sz w:val="32"/>
      <w:szCs w:val="32"/>
    </w:rPr>
  </w:style>
  <w:style w:type="character" w:customStyle="1" w:styleId="4">
    <w:name w:val="标题 4 字符"/>
    <w:basedOn w:val="DefaultParagraphFont"/>
    <w:link w:val="Heading4"/>
    <w:uiPriority w:val="9"/>
    <w:semiHidden/>
    <w:rPr>
      <w:rFonts w:cstheme="majorBidi"/>
      <w:color w:val="104862" w:themeColor="accent1" w:themeShade="BF"/>
      <w:sz w:val="28"/>
      <w:szCs w:val="28"/>
    </w:rPr>
  </w:style>
  <w:style w:type="character" w:customStyle="1" w:styleId="5">
    <w:name w:val="标题 5 字符"/>
    <w:basedOn w:val="DefaultParagraphFont"/>
    <w:link w:val="Heading5"/>
    <w:uiPriority w:val="9"/>
    <w:semiHidden/>
    <w:qFormat/>
    <w:rPr>
      <w:rFonts w:cstheme="majorBidi"/>
      <w:color w:val="104862" w:themeColor="accent1" w:themeShade="BF"/>
      <w:sz w:val="24"/>
      <w:szCs w:val="24"/>
    </w:rPr>
  </w:style>
  <w:style w:type="character" w:customStyle="1" w:styleId="6">
    <w:name w:val="标题 6 字符"/>
    <w:basedOn w:val="DefaultParagraphFont"/>
    <w:link w:val="Heading6"/>
    <w:uiPriority w:val="9"/>
    <w:semiHidden/>
    <w:qFormat/>
    <w:rPr>
      <w:rFonts w:cstheme="majorBidi"/>
      <w:b/>
      <w:bCs/>
      <w:color w:val="104862" w:themeColor="accent1" w:themeShade="BF"/>
    </w:rPr>
  </w:style>
  <w:style w:type="character" w:customStyle="1" w:styleId="7">
    <w:name w:val="标题 7 字符"/>
    <w:basedOn w:val="DefaultParagraphFont"/>
    <w:link w:val="Heading7"/>
    <w:uiPriority w:val="9"/>
    <w:semiHidden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8">
    <w:name w:val="标题 8 字符"/>
    <w:basedOn w:val="DefaultParagraphFont"/>
    <w:link w:val="Heading8"/>
    <w:uiPriority w:val="9"/>
    <w:semiHidden/>
    <w:qFormat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9">
    <w:name w:val="标题 9 字符"/>
    <w:basedOn w:val="DefaultParagraphFont"/>
    <w:link w:val="Heading9"/>
    <w:uiPriority w:val="9"/>
    <w:semiHidden/>
    <w:qFormat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a">
    <w:name w:val="标题 字符"/>
    <w:basedOn w:val="DefaultParagraphFont"/>
    <w:link w:val="Title"/>
    <w:uiPriority w:val="10"/>
    <w:qFormat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0">
    <w:name w:val="副标题 字符"/>
    <w:basedOn w:val="DefaultParagraphFont"/>
    <w:link w:val="Subtitle"/>
    <w:uiPriority w:val="11"/>
    <w:qFormat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Quote">
    <w:name w:val="Quote"/>
    <w:basedOn w:val="Normal"/>
    <w:next w:val="Normal"/>
    <w:link w:val="a1"/>
    <w:uiPriority w:val="29"/>
    <w:qFormat/>
    <w:pPr>
      <w:spacing w:before="160" w:after="160"/>
      <w:jc w:val="center"/>
    </w:pPr>
    <w:rPr>
      <w:rFonts w:asciiTheme="minorHAnsi" w:eastAsiaTheme="minorEastAsia" w:hAnsiTheme="minorHAnsi" w:cstheme="minorBidi"/>
      <w:i/>
      <w:iCs/>
      <w:color w:val="404040" w:themeColor="text1" w:themeTint="BF"/>
      <w:szCs w:val="22"/>
      <w14:textFill>
        <w14:solidFill>
          <w14:schemeClr w14:val="tx1">
            <w14:lumMod w14:val="75000"/>
            <w14:lumOff w14:val="25000"/>
          </w14:schemeClr>
        </w14:solidFill>
      </w14:textFill>
      <w14:ligatures w14:val="standardContextual"/>
    </w:rPr>
  </w:style>
  <w:style w:type="character" w:customStyle="1" w:styleId="a1">
    <w:name w:val="引用 字符"/>
    <w:basedOn w:val="DefaultParagraphFont"/>
    <w:link w:val="Quote"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  <w:rPr>
      <w:rFonts w:asciiTheme="minorHAnsi" w:eastAsiaTheme="minorEastAsia" w:hAnsiTheme="minorHAnsi" w:cstheme="minorBidi"/>
      <w:szCs w:val="22"/>
      <w14:ligatures w14:val="standardContextual"/>
    </w:rPr>
  </w:style>
  <w:style w:type="character" w:customStyle="1" w:styleId="IntenseEmphasis">
    <w:name w:val="Intense Emphasis"/>
    <w:basedOn w:val="DefaultParagraphFont"/>
    <w:uiPriority w:val="21"/>
    <w:qFormat/>
    <w:rPr>
      <w:i/>
      <w:iCs/>
      <w:color w:val="104862" w:themeColor="accent1" w:themeShade="BF"/>
    </w:rPr>
  </w:style>
  <w:style w:type="paragraph" w:styleId="IntenseQuote">
    <w:name w:val="Intense Quote"/>
    <w:basedOn w:val="Normal"/>
    <w:next w:val="Normal"/>
    <w:link w:val="a2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rFonts w:asciiTheme="minorHAnsi" w:eastAsiaTheme="minorEastAsia" w:hAnsiTheme="minorHAnsi" w:cstheme="minorBidi"/>
      <w:i/>
      <w:iCs/>
      <w:color w:val="104862" w:themeColor="accent1" w:themeShade="BF"/>
      <w:szCs w:val="22"/>
      <w14:ligatures w14:val="standardContextual"/>
    </w:rPr>
  </w:style>
  <w:style w:type="character" w:customStyle="1" w:styleId="a2">
    <w:name w:val="明显引用 字符"/>
    <w:basedOn w:val="DefaultParagraphFont"/>
    <w:link w:val="IntenseQuote"/>
    <w:uiPriority w:val="30"/>
    <w:rPr>
      <w:i/>
      <w:iCs/>
      <w:color w:val="104862" w:themeColor="accent1" w:themeShade="BF"/>
    </w:rPr>
  </w:style>
  <w:style w:type="character" w:customStyle="1" w:styleId="IntenseReference">
    <w:name w:val="Intense Reference"/>
    <w:basedOn w:val="DefaultParagraphFont"/>
    <w:uiPriority w:val="32"/>
    <w:qFormat/>
    <w:rPr>
      <w:b/>
      <w:bCs/>
      <w:smallCaps/>
      <w:color w:val="104862" w:themeColor="accent1" w:themeShade="BF"/>
      <w:spacing w:val="5"/>
    </w:rPr>
  </w:style>
  <w:style w:type="character" w:customStyle="1" w:styleId="a3">
    <w:name w:val="页眉 字符"/>
    <w:basedOn w:val="DefaultParagraphFont"/>
    <w:link w:val="Header"/>
    <w:uiPriority w:val="99"/>
    <w:rPr>
      <w:sz w:val="18"/>
      <w:szCs w:val="18"/>
    </w:rPr>
  </w:style>
  <w:style w:type="character" w:customStyle="1" w:styleId="a4">
    <w:name w:val="页脚 字符"/>
    <w:basedOn w:val="DefaultParagraphFont"/>
    <w:link w:val="Footer"/>
    <w:uiPriority w:val="99"/>
    <w:rPr>
      <w:sz w:val="18"/>
      <w:szCs w:val="18"/>
    </w:rPr>
  </w:style>
  <w:style w:type="paragraph" w:customStyle="1" w:styleId="---">
    <w:name w:val="试卷-单选题-试题-题目"/>
    <w:basedOn w:val="Normal"/>
    <w:qFormat/>
    <w:pPr>
      <w:spacing w:line="360" w:lineRule="auto"/>
      <w:jc w:val="left"/>
    </w:pPr>
  </w:style>
  <w:style w:type="paragraph" w:customStyle="1" w:styleId="---0">
    <w:name w:val="试卷-单选题-试题-答案"/>
    <w:basedOn w:val="Normal"/>
    <w:qFormat/>
    <w:pPr>
      <w:spacing w:line="360" w:lineRule="auto"/>
    </w:pPr>
  </w:style>
  <w:style w:type="paragraph" w:customStyle="1" w:styleId="---1">
    <w:name w:val="试卷-材料题-试题-标题"/>
    <w:basedOn w:val="Normal"/>
    <w:qFormat/>
    <w:pPr>
      <w:spacing w:line="360" w:lineRule="auto"/>
      <w:jc w:val="left"/>
    </w:pPr>
  </w:style>
  <w:style w:type="paragraph" w:customStyle="1" w:styleId="----">
    <w:name w:val="试卷-材料题-试题-材料-正文"/>
    <w:basedOn w:val="Normal"/>
    <w:qFormat/>
    <w:pPr>
      <w:spacing w:line="360" w:lineRule="auto"/>
      <w:ind w:firstLine="420" w:firstLineChars="200"/>
    </w:pPr>
    <w:rPr>
      <w:rFonts w:eastAsia="楷体_GB2312"/>
    </w:rPr>
  </w:style>
  <w:style w:type="paragraph" w:customStyle="1" w:styleId="----0">
    <w:name w:val="试卷-材料题-试题-材料-标题"/>
    <w:basedOn w:val="Normal"/>
    <w:qFormat/>
    <w:pPr>
      <w:spacing w:line="360" w:lineRule="auto"/>
    </w:pPr>
    <w:rPr>
      <w:rFonts w:ascii="黑体" w:eastAsia="黑体" w:hAnsi="黑体"/>
    </w:rPr>
  </w:style>
  <w:style w:type="paragraph" w:customStyle="1" w:styleId="----1">
    <w:name w:val="试卷-材料题-试题-材料-引自"/>
    <w:basedOn w:val="Normal"/>
    <w:qFormat/>
    <w:pPr>
      <w:spacing w:line="360" w:lineRule="auto"/>
      <w:ind w:left="420" w:leftChars="200"/>
      <w:jc w:val="right"/>
    </w:pPr>
    <w:rPr>
      <w:rFonts w:eastAsia="楷体_GB2312"/>
    </w:rPr>
  </w:style>
  <w:style w:type="paragraph" w:customStyle="1" w:styleId="--">
    <w:name w:val="试题-答案-普通"/>
    <w:basedOn w:val="Normal"/>
    <w:qFormat/>
    <w:pPr>
      <w:spacing w:line="360" w:lineRule="auto"/>
      <w:jc w:val="lef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5D87E6-AA14-42B8-B549-7835D4AC414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10</Pages>
  <Words>6583</Words>
  <Characters>6740</Characters>
  <DocSecurity>0</DocSecurity>
  <Lines>51</Lines>
  <Paragraphs>14</Paragraphs>
  <ScaleCrop>false</ScaleCrop>
  <Company/>
  <LinksUpToDate>false</LinksUpToDate>
  <CharactersWithSpaces>6983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2024-04-09T13:24:00Z</cp:lastPrinted>
  <dcterms:created xsi:type="dcterms:W3CDTF">2024-12-11T11:20:00Z</dcterms:created>
  <dcterms:modified xsi:type="dcterms:W3CDTF">2024-12-20T08:32:11Z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