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1.0 -->
  <w:body>
    <w:p>
      <w:pPr>
        <w:widowControl w:val="0"/>
        <w:spacing w:before="0" w:after="0" w:line="360" w:lineRule="auto"/>
        <w:jc w:val="center"/>
        <w:rPr>
          <w:sz w:val="32"/>
          <w:szCs w:val="32"/>
        </w:rPr>
      </w:pPr>
      <w:r>
        <w:rPr>
          <w:strike w:val="0"/>
          <w:sz w:val="32"/>
          <w:szCs w:val="32"/>
          <w:u w:val="none"/>
        </w:rPr>
        <w:drawing>
          <wp:anchor simplePos="0" relativeHeight="251658240" behindDoc="0" locked="0" layoutInCell="1" allowOverlap="1">
            <wp:simplePos x="0" y="0"/>
            <wp:positionH relativeFrom="page">
              <wp:posOffset>10960100</wp:posOffset>
            </wp:positionH>
            <wp:positionV relativeFrom="topMargin">
              <wp:posOffset>11036300</wp:posOffset>
            </wp:positionV>
            <wp:extent cx="381000" cy="333375"/>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81000" cy="333375"/>
                    </a:xfrm>
                    <a:prstGeom prst="rect">
                      <a:avLst/>
                    </a:prstGeom>
                  </pic:spPr>
                </pic:pic>
              </a:graphicData>
            </a:graphic>
          </wp:anchor>
        </w:drawing>
      </w:r>
      <w:r>
        <w:rPr>
          <w:rFonts w:ascii="SimSun" w:eastAsia="SimSun" w:hAnsi="SimSun" w:cs="SimSun"/>
          <w:b/>
          <w:bCs/>
          <w:sz w:val="32"/>
          <w:szCs w:val="32"/>
        </w:rPr>
        <w:t>高三思想政治</w:t>
      </w:r>
    </w:p>
    <w:p>
      <w:pPr>
        <w:widowControl w:val="0"/>
        <w:spacing w:before="0" w:after="0" w:line="360" w:lineRule="auto"/>
        <w:jc w:val="both"/>
      </w:pPr>
      <w:r>
        <w:rPr>
          <w:rFonts w:ascii="SimSun" w:eastAsia="SimSun" w:hAnsi="SimSun" w:cs="SimSun"/>
          <w:b/>
          <w:bCs/>
        </w:rPr>
        <w:t>考生注意：</w:t>
      </w:r>
    </w:p>
    <w:p>
      <w:pPr>
        <w:widowControl w:val="0"/>
        <w:spacing w:before="0" w:after="0" w:line="360" w:lineRule="auto"/>
        <w:jc w:val="both"/>
      </w:pPr>
      <w:r>
        <w:rPr>
          <w:rFonts w:ascii="SimSun" w:eastAsia="SimSun" w:hAnsi="SimSun" w:cs="SimSun"/>
          <w:b/>
          <w:bCs/>
        </w:rPr>
        <w:t>1．答题前，考生务必将自己的姓名、考生号填写在试卷和答题卡上，并将考生号条形码粘贴在答题卡上的指定位置。</w:t>
      </w:r>
    </w:p>
    <w:p>
      <w:pPr>
        <w:widowControl w:val="0"/>
        <w:spacing w:before="0" w:after="0" w:line="360" w:lineRule="auto"/>
        <w:jc w:val="both"/>
      </w:pPr>
      <w:r>
        <w:rPr>
          <w:rFonts w:ascii="SimSun" w:eastAsia="SimSun" w:hAnsi="SimSun" w:cs="SimSun"/>
          <w:b/>
          <w:bCs/>
        </w:rPr>
        <w:t>2．回答选择题时，选出每小题答案后，用铅笔把答题卡对应题目的答案标号涂黑。如需改动，用橡皮擦干净后，再选涂其他答案标号。回答非选择题时，将答案写在答题卡上。写在本试卷上无效。</w:t>
      </w:r>
    </w:p>
    <w:p>
      <w:pPr>
        <w:widowControl w:val="0"/>
        <w:spacing w:before="0" w:after="0" w:line="360" w:lineRule="auto"/>
        <w:jc w:val="both"/>
      </w:pPr>
      <w:r>
        <w:rPr>
          <w:rFonts w:ascii="SimSun" w:eastAsia="SimSun" w:hAnsi="SimSun" w:cs="SimSun"/>
          <w:b/>
          <w:bCs/>
        </w:rPr>
        <w:t>3．考试结束后，将本试卷和答题卡一并交回。</w:t>
      </w:r>
    </w:p>
    <w:p>
      <w:pPr>
        <w:widowControl w:val="0"/>
        <w:spacing w:before="0" w:after="0" w:line="360" w:lineRule="auto"/>
        <w:jc w:val="both"/>
      </w:pPr>
      <w:r>
        <w:rPr>
          <w:rFonts w:ascii="SimSun" w:eastAsia="SimSun" w:hAnsi="SimSun" w:cs="SimSun"/>
          <w:b/>
          <w:bCs/>
        </w:rPr>
        <w:t>一、选择题：本题共16小题，每小题3分，共48分。在每小题给出的四个选项中，只有一项是符合题目要求的。</w:t>
      </w:r>
    </w:p>
    <w:p>
      <w:pPr>
        <w:widowControl w:val="0"/>
        <w:spacing w:before="0" w:after="0" w:line="360" w:lineRule="auto"/>
        <w:rPr>
          <w:sz w:val="21"/>
          <w:szCs w:val="21"/>
        </w:rPr>
      </w:pPr>
      <w:r>
        <w:rPr>
          <w:sz w:val="21"/>
          <w:szCs w:val="21"/>
        </w:rPr>
        <w:t xml:space="preserve">1. </w:t>
      </w:r>
      <w:r>
        <w:rPr>
          <w:rFonts w:ascii="SimSun" w:eastAsia="SimSun" w:hAnsi="SimSun" w:cs="SimSun"/>
          <w:sz w:val="21"/>
          <w:szCs w:val="21"/>
        </w:rPr>
        <w:t>三百多年前在西欧出现了劳动同劳动的客观条件分离（商品交换）的情况，正是当时的商人和高利贷者把积累起来的货币，用来购买劳动的客观条件和劳动力，并把它们变成生产资本，货币所有者因此变成了资本家。从中我们可以看出（</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①上层建筑为先进的经济基础服务就会推动社会进步</w:t>
      </w:r>
    </w:p>
    <w:p>
      <w:pPr>
        <w:widowControl w:val="0"/>
        <w:spacing w:before="0" w:after="0" w:line="360" w:lineRule="auto"/>
        <w:rPr>
          <w:sz w:val="21"/>
          <w:szCs w:val="21"/>
        </w:rPr>
      </w:pPr>
      <w:r>
        <w:rPr>
          <w:rFonts w:ascii="SimSun" w:eastAsia="SimSun" w:hAnsi="SimSun" w:cs="SimSun"/>
          <w:sz w:val="21"/>
          <w:szCs w:val="21"/>
        </w:rPr>
        <w:t>②商品交换发展是资本主义生产关系形成的重要原因</w:t>
      </w:r>
    </w:p>
    <w:p>
      <w:pPr>
        <w:widowControl w:val="0"/>
        <w:spacing w:before="0" w:after="0" w:line="360" w:lineRule="auto"/>
        <w:rPr>
          <w:sz w:val="21"/>
          <w:szCs w:val="21"/>
        </w:rPr>
      </w:pPr>
      <w:r>
        <w:rPr>
          <w:rFonts w:ascii="SimSun" w:eastAsia="SimSun" w:hAnsi="SimSun" w:cs="SimSun"/>
          <w:sz w:val="21"/>
          <w:szCs w:val="21"/>
        </w:rPr>
        <w:t>③资本主义生产关系的建立必需大量的货币作为资本</w:t>
      </w:r>
    </w:p>
    <w:p>
      <w:pPr>
        <w:widowControl w:val="0"/>
        <w:spacing w:before="0" w:after="0" w:line="360" w:lineRule="auto"/>
        <w:rPr>
          <w:sz w:val="21"/>
          <w:szCs w:val="21"/>
        </w:rPr>
      </w:pPr>
      <w:r>
        <w:rPr>
          <w:rFonts w:ascii="SimSun" w:eastAsia="SimSun" w:hAnsi="SimSun" w:cs="SimSun"/>
          <w:sz w:val="21"/>
          <w:szCs w:val="21"/>
        </w:rPr>
        <w:t>④资本主义的发展使新兴资产阶级显示出很大的优势</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2. </w:t>
      </w:r>
      <w:r>
        <w:rPr>
          <w:rFonts w:ascii="SimSun" w:eastAsia="SimSun" w:hAnsi="SimSun" w:cs="SimSun"/>
          <w:sz w:val="21"/>
          <w:szCs w:val="21"/>
        </w:rPr>
        <w:t>鸦片战争、中日甲午战争、八国联军侵华战争……《南京条约》、《马关条约》、《辛丑条约》……把中华民族推入前所未有的黑暗境地。中国共产党犹如一道光，刺穿了近代中国的沉沉暗夜，照亮了民族复兴的伟大航程。材料主要表明（</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①半殖民地半封建社会是近代中国</w:t>
      </w:r>
      <w:r>
        <w:rPr>
          <w:strike w:val="0"/>
          <w:sz w:val="21"/>
          <w:szCs w:val="21"/>
          <w:u w:val="none"/>
        </w:rPr>
        <w:drawing>
          <wp:inline>
            <wp:extent cx="133350" cy="180975"/>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5"/>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基本国情</w:t>
      </w:r>
    </w:p>
    <w:p>
      <w:pPr>
        <w:widowControl w:val="0"/>
        <w:spacing w:before="0" w:after="0" w:line="360" w:lineRule="auto"/>
        <w:rPr>
          <w:sz w:val="21"/>
          <w:szCs w:val="21"/>
        </w:rPr>
      </w:pPr>
      <w:r>
        <w:rPr>
          <w:rFonts w:ascii="SimSun" w:eastAsia="SimSun" w:hAnsi="SimSun" w:cs="SimSun"/>
          <w:sz w:val="21"/>
          <w:szCs w:val="21"/>
        </w:rPr>
        <w:t>②中国共产党带来解决中国问题的出路和希望</w:t>
      </w:r>
    </w:p>
    <w:p>
      <w:pPr>
        <w:widowControl w:val="0"/>
        <w:spacing w:before="0" w:after="0" w:line="360" w:lineRule="auto"/>
        <w:rPr>
          <w:sz w:val="21"/>
          <w:szCs w:val="21"/>
        </w:rPr>
      </w:pPr>
      <w:r>
        <w:rPr>
          <w:rFonts w:ascii="SimSun" w:eastAsia="SimSun" w:hAnsi="SimSun" w:cs="SimSun"/>
          <w:sz w:val="21"/>
          <w:szCs w:val="21"/>
        </w:rPr>
        <w:t>③新中国成立从根本上改变了中国社会的发展方向</w:t>
      </w:r>
    </w:p>
    <w:p>
      <w:pPr>
        <w:widowControl w:val="0"/>
        <w:spacing w:before="0" w:after="0" w:line="360" w:lineRule="auto"/>
        <w:rPr>
          <w:sz w:val="21"/>
          <w:szCs w:val="21"/>
        </w:rPr>
      </w:pPr>
      <w:r>
        <w:rPr>
          <w:rFonts w:ascii="SimSun" w:eastAsia="SimSun" w:hAnsi="SimSun" w:cs="SimSun"/>
          <w:sz w:val="21"/>
          <w:szCs w:val="21"/>
        </w:rPr>
        <w:t>④中国共产党应运而生改变了中华民族</w:t>
      </w:r>
      <w:r>
        <w:rPr>
          <w:strike w:val="0"/>
          <w:sz w:val="21"/>
          <w:szCs w:val="21"/>
          <w:u w:val="none"/>
        </w:rPr>
        <w:drawing>
          <wp:inline>
            <wp:extent cx="133350" cy="180975"/>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5"/>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前途命运</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3. </w:t>
      </w:r>
      <w:r>
        <w:rPr>
          <w:rFonts w:ascii="SimSun" w:eastAsia="SimSun" w:hAnsi="SimSun" w:cs="SimSun"/>
          <w:sz w:val="21"/>
          <w:szCs w:val="21"/>
        </w:rPr>
        <w:t>在区域协调发展战略深入实施大背景下，新时代中国青年的发展渠道日益畅通。中国青年逐渐由单向的“孔雀东南飞”转变为多向的“自由随心飞”，能够在自己喜欢的城市寻找发展机会，在适合自己的地区拓展成长舞台。新时代中国青年实现发展跃迁要（</w:t>
      </w:r>
      <w:r>
        <w:rPr>
          <w:rFonts w:ascii="SimSun" w:eastAsia="SimSun" w:hAnsi="SimSun" w:cs="SimSun"/>
          <w:sz w:val="21"/>
          <w:szCs w:val="21"/>
        </w:rPr>
        <w:t xml:space="preserve">   </w:t>
      </w:r>
      <w:r>
        <w:rPr>
          <w:rFonts w:ascii="SimSun" w:eastAsia="SimSun" w:hAnsi="SimSun" w:cs="SimSun"/>
          <w:sz w:val="21"/>
          <w:szCs w:val="21"/>
        </w:rPr>
        <w:t>）</w:t>
      </w:r>
      <w:r>
        <w:rPr>
          <w:strike w:val="0"/>
          <w:sz w:val="21"/>
          <w:szCs w:val="21"/>
          <w:u w:val="none"/>
        </w:rPr>
        <w:drawing>
          <wp:inline>
            <wp:extent cx="28575" cy="28575"/>
            <wp:docPr id="100015" name=""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6"/>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①把人生理想融入国家发展战略</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②立足于城市实现自己人生价值</w:t>
      </w:r>
    </w:p>
    <w:p>
      <w:pPr>
        <w:widowControl w:val="0"/>
        <w:spacing w:before="0" w:after="0" w:line="360" w:lineRule="auto"/>
        <w:rPr>
          <w:sz w:val="21"/>
          <w:szCs w:val="21"/>
        </w:rPr>
      </w:pPr>
      <w:r>
        <w:rPr>
          <w:rFonts w:ascii="SimSun" w:eastAsia="SimSun" w:hAnsi="SimSun" w:cs="SimSun"/>
          <w:sz w:val="21"/>
          <w:szCs w:val="21"/>
        </w:rPr>
        <w:t>③让理想信念在创业奋斗中升华</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④以实现各族人民的福祉为己任</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4. </w:t>
      </w:r>
      <w:r>
        <w:rPr>
          <w:rFonts w:ascii="SimSun" w:eastAsia="SimSun" w:hAnsi="SimSun" w:cs="SimSun"/>
          <w:sz w:val="21"/>
          <w:szCs w:val="21"/>
        </w:rPr>
        <w:t>国家发展改革委员会建立政府和社会资本合作的新机制，向社会公开推介重大项目、鼓励各类资本参与。截至2024年2月29日，吸引民间资本参与的项目共计1612个，总投资规模2万多亿元。此举是为了（</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①调动不同经济主体的积极性和创造性</w:t>
      </w:r>
    </w:p>
    <w:p>
      <w:pPr>
        <w:widowControl w:val="0"/>
        <w:spacing w:before="0" w:after="0" w:line="360" w:lineRule="auto"/>
        <w:rPr>
          <w:sz w:val="21"/>
          <w:szCs w:val="21"/>
        </w:rPr>
      </w:pPr>
      <w:r>
        <w:rPr>
          <w:rFonts w:ascii="SimSun" w:eastAsia="SimSun" w:hAnsi="SimSun" w:cs="SimSun"/>
          <w:sz w:val="21"/>
          <w:szCs w:val="21"/>
        </w:rPr>
        <w:t>②运用新机制不断提升重大项目建设运营的水平</w:t>
      </w:r>
    </w:p>
    <w:p>
      <w:pPr>
        <w:widowControl w:val="0"/>
        <w:spacing w:before="0" w:after="0" w:line="360" w:lineRule="auto"/>
        <w:rPr>
          <w:sz w:val="21"/>
          <w:szCs w:val="21"/>
        </w:rPr>
      </w:pPr>
      <w:r>
        <w:rPr>
          <w:rFonts w:ascii="SimSun" w:eastAsia="SimSun" w:hAnsi="SimSun" w:cs="SimSun"/>
          <w:sz w:val="21"/>
          <w:szCs w:val="21"/>
        </w:rPr>
        <w:t>③拓宽民间投资空间并提高企业利润率</w:t>
      </w:r>
    </w:p>
    <w:p>
      <w:pPr>
        <w:widowControl w:val="0"/>
        <w:spacing w:before="0" w:after="0" w:line="360" w:lineRule="auto"/>
        <w:rPr>
          <w:sz w:val="21"/>
          <w:szCs w:val="21"/>
        </w:rPr>
      </w:pPr>
      <w:r>
        <w:rPr>
          <w:rFonts w:ascii="SimSun" w:eastAsia="SimSun" w:hAnsi="SimSun" w:cs="SimSun"/>
          <w:sz w:val="21"/>
          <w:szCs w:val="21"/>
        </w:rPr>
        <w:t>④探索公有制多种实现形式以完善现代企业制度</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5. </w:t>
      </w:r>
      <w:r>
        <w:rPr>
          <w:rFonts w:ascii="SimSun" w:eastAsia="SimSun" w:hAnsi="SimSun" w:cs="SimSun"/>
          <w:sz w:val="21"/>
          <w:szCs w:val="21"/>
        </w:rPr>
        <w:t>社会保障是治国安邦的大问题，在维护社会公平、增进民生福祉、促进经济社会发展方面发挥着重要作用。党的二十届三中全会通过的《中共中央关于进一步全面深化改革、推进中国式现代化的决定》对健全社会保障体系作出了重要部署。对此，下列认识正确的是（</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①完善的社会保障体系是我国经济和社会发展的基础</w:t>
      </w:r>
    </w:p>
    <w:p>
      <w:pPr>
        <w:widowControl w:val="0"/>
        <w:spacing w:before="0" w:after="0" w:line="360" w:lineRule="auto"/>
        <w:rPr>
          <w:sz w:val="21"/>
          <w:szCs w:val="21"/>
        </w:rPr>
      </w:pPr>
      <w:r>
        <w:rPr>
          <w:rFonts w:ascii="SimSun" w:eastAsia="SimSun" w:hAnsi="SimSun" w:cs="SimSun"/>
          <w:sz w:val="21"/>
          <w:szCs w:val="21"/>
        </w:rPr>
        <w:t>②健全社会保障体系是推进中国式现代化的重要内容</w:t>
      </w:r>
    </w:p>
    <w:p>
      <w:pPr>
        <w:widowControl w:val="0"/>
        <w:spacing w:before="0" w:after="0" w:line="360" w:lineRule="auto"/>
        <w:rPr>
          <w:sz w:val="21"/>
          <w:szCs w:val="21"/>
        </w:rPr>
      </w:pPr>
      <w:r>
        <w:rPr>
          <w:rFonts w:ascii="SimSun" w:eastAsia="SimSun" w:hAnsi="SimSun" w:cs="SimSun"/>
          <w:sz w:val="21"/>
          <w:szCs w:val="21"/>
        </w:rPr>
        <w:t>③社会保障是实现人民当家作主的根本政治制度安排</w:t>
      </w:r>
    </w:p>
    <w:p>
      <w:pPr>
        <w:widowControl w:val="0"/>
        <w:spacing w:before="0" w:after="0" w:line="360" w:lineRule="auto"/>
        <w:rPr>
          <w:sz w:val="21"/>
          <w:szCs w:val="21"/>
        </w:rPr>
      </w:pPr>
      <w:r>
        <w:rPr>
          <w:rFonts w:ascii="SimSun" w:eastAsia="SimSun" w:hAnsi="SimSun" w:cs="SimSun"/>
          <w:sz w:val="21"/>
          <w:szCs w:val="21"/>
        </w:rPr>
        <w:t>④有利于让现代化建设成果更多更公平惠及全体人民</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6. </w:t>
      </w:r>
      <w:r>
        <w:rPr>
          <w:rFonts w:ascii="SimSun" w:eastAsia="SimSun" w:hAnsi="SimSun" w:cs="SimSun"/>
          <w:sz w:val="21"/>
          <w:szCs w:val="21"/>
        </w:rPr>
        <w:t>湖南新田县某村党支部书记有一件工作“利器”——党群议事亭，“新修路资金从哪儿来”“山上果园灌溉怎么解决”等工作难题没思路的时候，和村民坐下来聊一聊，话匣子打开，金点子迸出来。问需于民、问计于民（</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①发挥了共产党员的先锋模范作用</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②彰显党以人民为中心的价值取向</w:t>
      </w:r>
    </w:p>
    <w:p>
      <w:pPr>
        <w:widowControl w:val="0"/>
        <w:spacing w:before="0" w:after="0" w:line="360" w:lineRule="auto"/>
        <w:rPr>
          <w:sz w:val="21"/>
          <w:szCs w:val="21"/>
        </w:rPr>
      </w:pPr>
      <w:r>
        <w:rPr>
          <w:rFonts w:ascii="SimSun" w:eastAsia="SimSun" w:hAnsi="SimSun" w:cs="SimSun"/>
          <w:sz w:val="21"/>
          <w:szCs w:val="21"/>
        </w:rPr>
        <w:t>③体现着党的领导方法和工作方法</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④确保党永葆旺盛生命力与战斗力</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7. </w:t>
      </w:r>
      <w:r>
        <w:rPr>
          <w:rFonts w:ascii="SimSun" w:eastAsia="SimSun" w:hAnsi="SimSun" w:cs="SimSun"/>
          <w:sz w:val="21"/>
          <w:szCs w:val="21"/>
        </w:rPr>
        <w:t>2024年4月，十四届全国人大常委会第九次会议对能源法草案进行初次审议。9月，草案二审稿贯彻落</w:t>
      </w:r>
      <w:r>
        <w:rPr>
          <w:strike w:val="0"/>
          <w:sz w:val="21"/>
          <w:szCs w:val="21"/>
          <w:u w:val="none"/>
        </w:rPr>
        <w:drawing>
          <wp:inline>
            <wp:extent cx="28575" cy="28575"/>
            <wp:docPr id="100029" name=""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xmlns:r="http://schemas.openxmlformats.org/officeDocument/2006/relationships" r:embed="rId6"/>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实党的二十届三中全会精神，提出加快规划建设新型能源体系的要求。能源法作为能源领域具有基础性、统领性的法律，对推动能源高质量发展、保障国家能源安全具有重大意义。开展能源立法（</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①旨在加强能源领域其他法律法规间的衔接</w:t>
      </w:r>
    </w:p>
    <w:p>
      <w:pPr>
        <w:widowControl w:val="0"/>
        <w:spacing w:before="0" w:after="0" w:line="360" w:lineRule="auto"/>
        <w:rPr>
          <w:sz w:val="21"/>
          <w:szCs w:val="21"/>
        </w:rPr>
      </w:pPr>
      <w:r>
        <w:rPr>
          <w:rFonts w:ascii="SimSun" w:eastAsia="SimSun" w:hAnsi="SimSun" w:cs="SimSun"/>
          <w:sz w:val="21"/>
          <w:szCs w:val="21"/>
        </w:rPr>
        <w:t>②体现了我国人民代表大会制度的核心地位</w:t>
      </w:r>
    </w:p>
    <w:p>
      <w:pPr>
        <w:widowControl w:val="0"/>
        <w:spacing w:before="0" w:after="0" w:line="360" w:lineRule="auto"/>
        <w:rPr>
          <w:sz w:val="21"/>
          <w:szCs w:val="21"/>
        </w:rPr>
      </w:pPr>
      <w:r>
        <w:rPr>
          <w:rFonts w:ascii="SimSun" w:eastAsia="SimSun" w:hAnsi="SimSun" w:cs="SimSun"/>
          <w:sz w:val="21"/>
          <w:szCs w:val="21"/>
        </w:rPr>
        <w:t>③将为我国新型能源体系建设提供法律保障</w:t>
      </w:r>
    </w:p>
    <w:p>
      <w:pPr>
        <w:widowControl w:val="0"/>
        <w:spacing w:before="0" w:after="0" w:line="360" w:lineRule="auto"/>
        <w:rPr>
          <w:sz w:val="21"/>
          <w:szCs w:val="21"/>
        </w:rPr>
      </w:pPr>
      <w:r>
        <w:rPr>
          <w:rFonts w:ascii="SimSun" w:eastAsia="SimSun" w:hAnsi="SimSun" w:cs="SimSun"/>
          <w:sz w:val="21"/>
          <w:szCs w:val="21"/>
        </w:rPr>
        <w:t>④有利于完善我国能源领域的法律制度体系</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8. </w:t>
      </w:r>
      <w:r>
        <w:rPr>
          <w:rFonts w:ascii="SimSun" w:eastAsia="SimSun" w:hAnsi="SimSun" w:cs="SimSun"/>
          <w:sz w:val="21"/>
          <w:szCs w:val="21"/>
        </w:rPr>
        <w:t>从“毛医生”的细心诊疗到专家团队的人才培养，每一双医疗之手都在为西藏的健康护航；从支教老师的倾心传授到教育专家的智慧引领，每一颗教育之心都在为西藏的明天播种希望</w:t>
      </w:r>
      <w:r>
        <w:rPr>
          <w:rFonts w:ascii="MS Mincho" w:eastAsia="MS Mincho" w:hAnsi="MS Mincho" w:cs="MS Mincho"/>
          <w:sz w:val="21"/>
          <w:szCs w:val="21"/>
        </w:rPr>
        <w:t>⋯⋯</w:t>
      </w:r>
      <w:r>
        <w:rPr>
          <w:rFonts w:ascii="SimSun" w:eastAsia="SimSun" w:hAnsi="SimSun" w:cs="SimSun"/>
          <w:sz w:val="21"/>
          <w:szCs w:val="21"/>
        </w:rPr>
        <w:t>三十载湘藏携手，书写了湘藏一家亲的美好篇章。上述举措的意义在于（</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①充分彰显了我国民族区域自治制度的优越性</w:t>
      </w:r>
    </w:p>
    <w:p>
      <w:pPr>
        <w:widowControl w:val="0"/>
        <w:spacing w:before="0" w:after="0" w:line="360" w:lineRule="auto"/>
        <w:rPr>
          <w:sz w:val="21"/>
          <w:szCs w:val="21"/>
        </w:rPr>
      </w:pPr>
      <w:r>
        <w:rPr>
          <w:rFonts w:ascii="SimSun" w:eastAsia="SimSun" w:hAnsi="SimSun" w:cs="SimSun"/>
          <w:sz w:val="21"/>
          <w:szCs w:val="21"/>
        </w:rPr>
        <w:t>②为西藏医疗教育事业蓬勃发展提供内生动力</w:t>
      </w:r>
    </w:p>
    <w:p>
      <w:pPr>
        <w:widowControl w:val="0"/>
        <w:spacing w:before="0" w:after="0" w:line="360" w:lineRule="auto"/>
        <w:rPr>
          <w:sz w:val="21"/>
          <w:szCs w:val="21"/>
        </w:rPr>
      </w:pPr>
      <w:r>
        <w:rPr>
          <w:rFonts w:ascii="SimSun" w:eastAsia="SimSun" w:hAnsi="SimSun" w:cs="SimSun"/>
          <w:sz w:val="21"/>
          <w:szCs w:val="21"/>
        </w:rPr>
        <w:t>③满足西藏群众享有优质医疗教育服务的愿望</w:t>
      </w:r>
    </w:p>
    <w:p>
      <w:pPr>
        <w:widowControl w:val="0"/>
        <w:spacing w:before="0" w:after="0" w:line="360" w:lineRule="auto"/>
        <w:rPr>
          <w:sz w:val="21"/>
          <w:szCs w:val="21"/>
        </w:rPr>
      </w:pPr>
      <w:r>
        <w:rPr>
          <w:rFonts w:ascii="SimSun" w:eastAsia="SimSun" w:hAnsi="SimSun" w:cs="SimSun"/>
          <w:sz w:val="21"/>
          <w:szCs w:val="21"/>
        </w:rPr>
        <w:t>④维护平等团结互助和谐的社会主义民族关系</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9. </w:t>
      </w:r>
      <w:r>
        <w:rPr>
          <w:rFonts w:ascii="SimSun" w:eastAsia="SimSun" w:hAnsi="SimSun" w:cs="SimSun"/>
          <w:sz w:val="21"/>
          <w:szCs w:val="21"/>
        </w:rPr>
        <w:t>2024年是中国极地考察40周年，一代代极地工作者勇斗极寒、拼搏奉献，推动极地科考事业从无到有、由弱到强。考察站是进行极地科考的“大本营”，随着建造能力、机械装备等科技能力的大幅提升，考察站的建造也在一步步推动着海洋强国的建设。建设考察站（</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①取决于极地工作者在极寒中的拼搏与付出</w:t>
      </w:r>
    </w:p>
    <w:p>
      <w:pPr>
        <w:widowControl w:val="0"/>
        <w:spacing w:before="0" w:after="0" w:line="360" w:lineRule="auto"/>
        <w:rPr>
          <w:sz w:val="21"/>
          <w:szCs w:val="21"/>
        </w:rPr>
      </w:pPr>
      <w:r>
        <w:rPr>
          <w:rFonts w:ascii="SimSun" w:eastAsia="SimSun" w:hAnsi="SimSun" w:cs="SimSun"/>
          <w:sz w:val="21"/>
          <w:szCs w:val="21"/>
        </w:rPr>
        <w:t>②体现极地科考合规律性与合目的性的统一</w:t>
      </w:r>
    </w:p>
    <w:p>
      <w:pPr>
        <w:widowControl w:val="0"/>
        <w:spacing w:before="0" w:after="0" w:line="360" w:lineRule="auto"/>
        <w:rPr>
          <w:sz w:val="21"/>
          <w:szCs w:val="21"/>
        </w:rPr>
      </w:pPr>
      <w:r>
        <w:rPr>
          <w:rFonts w:ascii="SimSun" w:eastAsia="SimSun" w:hAnsi="SimSun" w:cs="SimSun"/>
          <w:sz w:val="21"/>
          <w:szCs w:val="21"/>
        </w:rPr>
        <w:t>③依据从客观存在事物出发的极地科考要求</w:t>
      </w:r>
    </w:p>
    <w:p>
      <w:pPr>
        <w:widowControl w:val="0"/>
        <w:spacing w:before="0" w:after="0" w:line="360" w:lineRule="auto"/>
        <w:rPr>
          <w:sz w:val="21"/>
          <w:szCs w:val="21"/>
        </w:rPr>
      </w:pPr>
      <w:r>
        <w:rPr>
          <w:rFonts w:ascii="SimSun" w:eastAsia="SimSun" w:hAnsi="SimSun" w:cs="SimSun"/>
          <w:sz w:val="21"/>
          <w:szCs w:val="21"/>
        </w:rPr>
        <w:t>④表明意识能把观念的存在变成现实的存在</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10. </w:t>
      </w:r>
      <w:r>
        <w:rPr>
          <w:rFonts w:ascii="SimSun" w:eastAsia="SimSun" w:hAnsi="SimSun" w:cs="SimSun"/>
          <w:sz w:val="21"/>
          <w:szCs w:val="21"/>
        </w:rPr>
        <w:t>下图漫画《山不辞石，故能成其高》给我们的哲学启示是（</w:t>
      </w:r>
      <w:r>
        <w:rPr>
          <w:rFonts w:ascii="SimSun" w:eastAsia="SimSun" w:hAnsi="SimSun" w:cs="SimSun"/>
          <w:sz w:val="21"/>
          <w:szCs w:val="21"/>
        </w:rPr>
        <w:t xml:space="preserve">   </w:t>
      </w:r>
      <w:r>
        <w:rPr>
          <w:rFonts w:ascii="SimSun" w:eastAsia="SimSun" w:hAnsi="SimSun" w:cs="SimSun"/>
          <w:sz w:val="21"/>
          <w:szCs w:val="21"/>
        </w:rPr>
        <w:t>）</w:t>
      </w:r>
      <w:r>
        <w:rPr>
          <w:strike w:val="0"/>
          <w:sz w:val="21"/>
          <w:szCs w:val="21"/>
          <w:u w:val="none"/>
        </w:rPr>
        <w:drawing>
          <wp:inline>
            <wp:extent cx="28575" cy="28575"/>
            <wp:docPr id="100043" name=""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xmlns:r="http://schemas.openxmlformats.org/officeDocument/2006/relationships" r:embed="rId6"/>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strike w:val="0"/>
          <w:sz w:val="21"/>
          <w:szCs w:val="21"/>
          <w:u w:val="none"/>
        </w:rPr>
        <w:drawing>
          <wp:inline>
            <wp:extent cx="2019300" cy="2085975"/>
            <wp:docPr id="10005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
                    <pic:cNvPicPr>
                      <a:picLocks noChangeAspect="1"/>
                    </pic:cNvPicPr>
                  </pic:nvPicPr>
                  <pic:blipFill>
                    <a:blip xmlns:r="http://schemas.openxmlformats.org/officeDocument/2006/relationships" r:embed="rId10"/>
                    <a:stretch>
                      <a:fillRect/>
                    </a:stretch>
                  </pic:blipFill>
                  <pic:spPr>
                    <a:xfrm>
                      <a:off x="0" y="0"/>
                      <a:ext cx="2019300" cy="2085975"/>
                    </a:xfrm>
                    <a:prstGeom prst="rect">
                      <a:avLst/>
                    </a:prstGeom>
                  </pic:spPr>
                </pic:pic>
              </a:graphicData>
            </a:graphic>
          </wp:inline>
        </w:drawing>
      </w:r>
    </w:p>
    <w:p>
      <w:pPr>
        <w:widowControl w:val="0"/>
        <w:spacing w:before="0" w:after="0" w:line="360" w:lineRule="auto"/>
        <w:rPr>
          <w:sz w:val="21"/>
          <w:szCs w:val="21"/>
        </w:rPr>
      </w:pPr>
      <w:r>
        <w:rPr>
          <w:rFonts w:ascii="SimSun" w:eastAsia="SimSun" w:hAnsi="SimSun" w:cs="SimSun"/>
          <w:sz w:val="21"/>
          <w:szCs w:val="21"/>
        </w:rPr>
        <w:t>①重视量的积累，成功的人生是一件件的小事累积起来的</w:t>
      </w:r>
    </w:p>
    <w:p>
      <w:pPr>
        <w:widowControl w:val="0"/>
        <w:spacing w:before="0" w:after="0" w:line="360" w:lineRule="auto"/>
        <w:rPr>
          <w:sz w:val="21"/>
          <w:szCs w:val="21"/>
        </w:rPr>
      </w:pPr>
      <w:r>
        <w:rPr>
          <w:rFonts w:ascii="SimSun" w:eastAsia="SimSun" w:hAnsi="SimSun" w:cs="SimSun"/>
          <w:sz w:val="21"/>
          <w:szCs w:val="21"/>
        </w:rPr>
        <w:t>②事物发展方向是前进的，应勇敢面对人生道路上的考验</w:t>
      </w:r>
    </w:p>
    <w:p>
      <w:pPr>
        <w:widowControl w:val="0"/>
        <w:spacing w:before="0" w:after="0" w:line="360" w:lineRule="auto"/>
        <w:rPr>
          <w:sz w:val="21"/>
          <w:szCs w:val="21"/>
        </w:rPr>
      </w:pPr>
      <w:r>
        <w:rPr>
          <w:rFonts w:ascii="SimSun" w:eastAsia="SimSun" w:hAnsi="SimSun" w:cs="SimSun"/>
          <w:sz w:val="21"/>
          <w:szCs w:val="21"/>
        </w:rPr>
        <w:t>③把握联系的多样性，绘就人生宏图要以一切条件为转移</w:t>
      </w:r>
    </w:p>
    <w:p>
      <w:pPr>
        <w:widowControl w:val="0"/>
        <w:spacing w:before="0" w:after="0" w:line="360" w:lineRule="auto"/>
        <w:rPr>
          <w:sz w:val="21"/>
          <w:szCs w:val="21"/>
        </w:rPr>
      </w:pPr>
      <w:r>
        <w:rPr>
          <w:rFonts w:ascii="SimSun" w:eastAsia="SimSun" w:hAnsi="SimSun" w:cs="SimSun"/>
          <w:sz w:val="21"/>
          <w:szCs w:val="21"/>
        </w:rPr>
        <w:t>④质变是量变的必然结果，要坚信不平凡源自做好平凡事</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11. </w:t>
      </w:r>
      <w:r>
        <w:rPr>
          <w:rFonts w:ascii="SimSun" w:eastAsia="SimSun" w:hAnsi="SimSun" w:cs="SimSun"/>
          <w:sz w:val="21"/>
          <w:szCs w:val="21"/>
        </w:rPr>
        <w:t>文化遗产不仅是历史的见证、文明的标志，更承载着中华优秀传统文化生生不息、赓续不绝的厚重基因。从古老的长城到壮丽的故宫，从神秘的莫高窟到秀美的丽江古城，一处处世界文化遗产在精心呵护下绽放出绚丽光彩。可见，守护中华文明瑰宝（</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①将为人类文明的发展作出一定的贡献</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②要加强国际文化交流合作和文明交流互鉴</w:t>
      </w:r>
    </w:p>
    <w:p>
      <w:pPr>
        <w:widowControl w:val="0"/>
        <w:spacing w:before="0" w:after="0" w:line="360" w:lineRule="auto"/>
        <w:rPr>
          <w:sz w:val="21"/>
          <w:szCs w:val="21"/>
        </w:rPr>
      </w:pPr>
      <w:r>
        <w:rPr>
          <w:rFonts w:ascii="SimSun" w:eastAsia="SimSun" w:hAnsi="SimSun" w:cs="SimSun"/>
          <w:sz w:val="21"/>
          <w:szCs w:val="21"/>
        </w:rPr>
        <w:t>③能够增强我们</w:t>
      </w:r>
      <w:r>
        <w:rPr>
          <w:strike w:val="0"/>
          <w:sz w:val="21"/>
          <w:szCs w:val="21"/>
          <w:u w:val="none"/>
        </w:rPr>
        <w:drawing>
          <wp:inline>
            <wp:extent cx="133350" cy="180975"/>
            <wp:docPr id="1000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
                    <pic:cNvPicPr>
                      <a:picLocks noChangeAspect="1"/>
                    </pic:cNvPicPr>
                  </pic:nvPicPr>
                  <pic:blipFill>
                    <a:blip xmlns:r="http://schemas.openxmlformats.org/officeDocument/2006/relationships" r:embed="rId5"/>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文化自信和民族自豪感</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④必须增强对世界各民族文化的理解和认同</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p>
    <w:p>
      <w:pPr>
        <w:widowControl w:val="0"/>
        <w:spacing w:before="0" w:after="0" w:line="360" w:lineRule="auto"/>
        <w:rPr>
          <w:sz w:val="21"/>
          <w:szCs w:val="21"/>
        </w:rPr>
      </w:pPr>
      <w:r>
        <w:rPr>
          <w:sz w:val="21"/>
          <w:szCs w:val="21"/>
        </w:rPr>
        <w:t xml:space="preserve">12. </w:t>
      </w:r>
      <w:r>
        <w:rPr>
          <w:rFonts w:ascii="SimSun" w:eastAsia="SimSun" w:hAnsi="SimSun" w:cs="SimSun"/>
          <w:sz w:val="21"/>
          <w:szCs w:val="21"/>
        </w:rPr>
        <w:t>2024年3月，习近平总书记在湖南考察时强调，要更好担负起新的文化使命，传承历史文化，赓续革命文化，发展社会主义先进文化，使湖湘文化在新时代实现新发展、呈现新气象，在建设中华民族现代文明中展现新作为。发掘湖湘文化的当代价值，必须（</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①运用好红色资源，加强革命传统和爱国主义教育</w:t>
      </w:r>
    </w:p>
    <w:p>
      <w:pPr>
        <w:widowControl w:val="0"/>
        <w:spacing w:before="0" w:after="0" w:line="360" w:lineRule="auto"/>
        <w:rPr>
          <w:sz w:val="21"/>
          <w:szCs w:val="21"/>
        </w:rPr>
      </w:pPr>
      <w:r>
        <w:rPr>
          <w:rFonts w:ascii="SimSun" w:eastAsia="SimSun" w:hAnsi="SimSun" w:cs="SimSun"/>
          <w:sz w:val="21"/>
          <w:szCs w:val="21"/>
        </w:rPr>
        <w:t>②立足人民群众的需求，满足人民群众的精神生活</w:t>
      </w:r>
    </w:p>
    <w:p>
      <w:pPr>
        <w:widowControl w:val="0"/>
        <w:spacing w:before="0" w:after="0" w:line="360" w:lineRule="auto"/>
        <w:rPr>
          <w:sz w:val="21"/>
          <w:szCs w:val="21"/>
        </w:rPr>
      </w:pPr>
      <w:r>
        <w:rPr>
          <w:rFonts w:ascii="SimSun" w:eastAsia="SimSun" w:hAnsi="SimSun" w:cs="SimSun"/>
          <w:sz w:val="21"/>
          <w:szCs w:val="21"/>
        </w:rPr>
        <w:t>③把握文化发展的规律，以文化发展推动文化交融</w:t>
      </w:r>
    </w:p>
    <w:p>
      <w:pPr>
        <w:widowControl w:val="0"/>
        <w:spacing w:before="0" w:after="0" w:line="360" w:lineRule="auto"/>
        <w:rPr>
          <w:sz w:val="21"/>
          <w:szCs w:val="21"/>
        </w:rPr>
      </w:pPr>
      <w:r>
        <w:rPr>
          <w:rFonts w:ascii="SimSun" w:eastAsia="SimSun" w:hAnsi="SimSun" w:cs="SimSun"/>
          <w:sz w:val="21"/>
          <w:szCs w:val="21"/>
        </w:rPr>
        <w:t>④践行社会主义核心价值观，培育新时代的新风貌</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p>
    <w:p>
      <w:pPr>
        <w:widowControl w:val="0"/>
        <w:spacing w:before="0" w:after="0" w:line="360" w:lineRule="auto"/>
        <w:rPr>
          <w:sz w:val="21"/>
          <w:szCs w:val="21"/>
        </w:rPr>
      </w:pPr>
      <w:r>
        <w:rPr>
          <w:sz w:val="21"/>
          <w:szCs w:val="21"/>
        </w:rPr>
        <w:t xml:space="preserve">13. </w:t>
      </w:r>
      <w:r>
        <w:rPr>
          <w:rFonts w:ascii="SimSun" w:eastAsia="SimSun" w:hAnsi="SimSun" w:cs="SimSun"/>
          <w:sz w:val="21"/>
          <w:szCs w:val="21"/>
        </w:rPr>
        <w:t>2024年是中匈建交75周年。两国领导人日前共同宣布，将中匈关系提升为新时代全天候全面战略伙伴</w:t>
      </w:r>
      <w:r>
        <w:rPr>
          <w:strike w:val="0"/>
          <w:sz w:val="21"/>
          <w:szCs w:val="21"/>
          <w:u w:val="none"/>
        </w:rPr>
        <w:drawing>
          <wp:inline>
            <wp:extent cx="28575" cy="28575"/>
            <wp:docPr id="100061" name=""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
                    <pic:cNvPicPr>
                      <a:picLocks noChangeAspect="1"/>
                    </pic:cNvPicPr>
                  </pic:nvPicPr>
                  <pic:blipFill>
                    <a:blip xmlns:r="http://schemas.openxmlformats.org/officeDocument/2006/relationships" r:embed="rId6"/>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关系。双方签署或达成一致的合作文件有18份，涵盖共建“一带一路”、经贸、投资、科技等多领域，成果丰硕且具有重要意义。这表明（</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①国家间的共同利益是中匈两国合作的基础</w:t>
      </w:r>
    </w:p>
    <w:p>
      <w:pPr>
        <w:widowControl w:val="0"/>
        <w:spacing w:before="0" w:after="0" w:line="360" w:lineRule="auto"/>
        <w:rPr>
          <w:sz w:val="21"/>
          <w:szCs w:val="21"/>
        </w:rPr>
      </w:pPr>
      <w:r>
        <w:rPr>
          <w:rFonts w:ascii="SimSun" w:eastAsia="SimSun" w:hAnsi="SimSun" w:cs="SimSun"/>
          <w:sz w:val="21"/>
          <w:szCs w:val="21"/>
        </w:rPr>
        <w:t>②中匈不断深化以合作为主要内容的国际关系</w:t>
      </w:r>
    </w:p>
    <w:p>
      <w:pPr>
        <w:widowControl w:val="0"/>
        <w:spacing w:before="0" w:after="0" w:line="360" w:lineRule="auto"/>
        <w:rPr>
          <w:sz w:val="21"/>
          <w:szCs w:val="21"/>
        </w:rPr>
      </w:pPr>
      <w:r>
        <w:rPr>
          <w:rFonts w:ascii="SimSun" w:eastAsia="SimSun" w:hAnsi="SimSun" w:cs="SimSun"/>
          <w:sz w:val="21"/>
          <w:szCs w:val="21"/>
        </w:rPr>
        <w:t>③中匈两国确保双边关系始终保持高水平运行</w:t>
      </w:r>
    </w:p>
    <w:p>
      <w:pPr>
        <w:widowControl w:val="0"/>
        <w:spacing w:before="0" w:after="0" w:line="360" w:lineRule="auto"/>
        <w:rPr>
          <w:sz w:val="21"/>
          <w:szCs w:val="21"/>
        </w:rPr>
      </w:pPr>
      <w:r>
        <w:rPr>
          <w:rFonts w:ascii="SimSun" w:eastAsia="SimSun" w:hAnsi="SimSun" w:cs="SimSun"/>
          <w:sz w:val="21"/>
          <w:szCs w:val="21"/>
        </w:rPr>
        <w:t>④中匈在根本利益上的一致性增强了两国互信</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p>
    <w:p>
      <w:pPr>
        <w:widowControl w:val="0"/>
        <w:spacing w:before="0" w:after="0" w:line="360" w:lineRule="auto"/>
        <w:rPr>
          <w:sz w:val="21"/>
          <w:szCs w:val="21"/>
        </w:rPr>
      </w:pPr>
      <w:r>
        <w:rPr>
          <w:sz w:val="21"/>
          <w:szCs w:val="21"/>
        </w:rPr>
        <w:t xml:space="preserve">14. </w:t>
      </w:r>
      <w:r>
        <w:rPr>
          <w:rFonts w:ascii="SimSun" w:eastAsia="SimSun" w:hAnsi="SimSun" w:cs="SimSun"/>
          <w:sz w:val="21"/>
          <w:szCs w:val="21"/>
        </w:rPr>
        <w:t>2024年9月24日，第21届中国—东盟博览会（以下简称东博会）在广西南宁举行。作为中国与东盟合作不可或缺的重要平台，东博会建立起了两者之间政治、经贸、人文等合作交流渠道，为亚太乃至世界带来更多发展机遇与福祉。第21届东博会（</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①将推动构建更为紧密的中国—东盟命运共同体</w:t>
      </w:r>
    </w:p>
    <w:p>
      <w:pPr>
        <w:widowControl w:val="0"/>
        <w:spacing w:before="0" w:after="0" w:line="360" w:lineRule="auto"/>
        <w:rPr>
          <w:sz w:val="21"/>
          <w:szCs w:val="21"/>
        </w:rPr>
      </w:pPr>
      <w:r>
        <w:rPr>
          <w:rFonts w:ascii="SimSun" w:eastAsia="SimSun" w:hAnsi="SimSun" w:cs="SimSun"/>
          <w:sz w:val="21"/>
          <w:szCs w:val="21"/>
        </w:rPr>
        <w:t>②创新了推进东盟区域合作和一体化建设</w:t>
      </w:r>
      <w:r>
        <w:rPr>
          <w:strike w:val="0"/>
          <w:sz w:val="21"/>
          <w:szCs w:val="21"/>
          <w:u w:val="none"/>
        </w:rPr>
        <w:drawing>
          <wp:inline>
            <wp:extent cx="133350" cy="180975"/>
            <wp:docPr id="1000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
                    <pic:cNvPicPr>
                      <a:picLocks noChangeAspect="1"/>
                    </pic:cNvPicPr>
                  </pic:nvPicPr>
                  <pic:blipFill>
                    <a:blip xmlns:r="http://schemas.openxmlformats.org/officeDocument/2006/relationships" r:embed="rId5"/>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路径方式</w:t>
      </w:r>
    </w:p>
    <w:p>
      <w:pPr>
        <w:widowControl w:val="0"/>
        <w:spacing w:before="0" w:after="0" w:line="360" w:lineRule="auto"/>
        <w:rPr>
          <w:sz w:val="21"/>
          <w:szCs w:val="21"/>
        </w:rPr>
      </w:pPr>
      <w:r>
        <w:rPr>
          <w:rFonts w:ascii="SimSun" w:eastAsia="SimSun" w:hAnsi="SimSun" w:cs="SimSun"/>
          <w:sz w:val="21"/>
          <w:szCs w:val="21"/>
        </w:rPr>
        <w:t>③彰显中国坚持以互利合作实现与东盟的共同繁荣</w:t>
      </w:r>
    </w:p>
    <w:p>
      <w:pPr>
        <w:widowControl w:val="0"/>
        <w:spacing w:before="0" w:after="0" w:line="360" w:lineRule="auto"/>
        <w:rPr>
          <w:sz w:val="21"/>
          <w:szCs w:val="21"/>
        </w:rPr>
      </w:pPr>
      <w:r>
        <w:rPr>
          <w:rFonts w:ascii="SimSun" w:eastAsia="SimSun" w:hAnsi="SimSun" w:cs="SimSun"/>
          <w:sz w:val="21"/>
          <w:szCs w:val="21"/>
        </w:rPr>
        <w:t>④表明中国坚定支持东盟在国际事务中发挥更大作用</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15. </w:t>
      </w:r>
      <w:r>
        <w:rPr>
          <w:rFonts w:ascii="SimSun" w:eastAsia="SimSun" w:hAnsi="SimSun" w:cs="SimSun"/>
          <w:sz w:val="21"/>
          <w:szCs w:val="21"/>
        </w:rPr>
        <w:t>老朱在革命战争年代荣获多枚勋章，数十年来悉心保护，视若珍宝。某私人博物馆负责人赵某将这些勋章借去展览，期间不慎丢失。赵某仅同意赔偿几百元，老朱遂将赵某诉至法院，要求其支付精神损害抚慰金若干，得到法院支持。对上述材料下列解读正确的是（</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①老朱人身权益受损并造成严重精神损害，法院支持老朱的诉求</w:t>
      </w:r>
    </w:p>
    <w:p>
      <w:pPr>
        <w:widowControl w:val="0"/>
        <w:spacing w:before="0" w:after="0" w:line="360" w:lineRule="auto"/>
        <w:rPr>
          <w:sz w:val="21"/>
          <w:szCs w:val="21"/>
        </w:rPr>
      </w:pPr>
      <w:r>
        <w:rPr>
          <w:rFonts w:ascii="SimSun" w:eastAsia="SimSun" w:hAnsi="SimSun" w:cs="SimSun"/>
          <w:sz w:val="21"/>
          <w:szCs w:val="21"/>
        </w:rPr>
        <w:t>②民法基本原则只是民事主体从事民事活动，应遵循的基本准则</w:t>
      </w:r>
    </w:p>
    <w:p>
      <w:pPr>
        <w:widowControl w:val="0"/>
        <w:spacing w:before="0" w:after="0" w:line="360" w:lineRule="auto"/>
        <w:rPr>
          <w:sz w:val="21"/>
          <w:szCs w:val="21"/>
        </w:rPr>
      </w:pPr>
      <w:r>
        <w:rPr>
          <w:rFonts w:ascii="SimSun" w:eastAsia="SimSun" w:hAnsi="SimSun" w:cs="SimSun"/>
          <w:sz w:val="21"/>
          <w:szCs w:val="21"/>
        </w:rPr>
        <w:t>③赵某因管理不善应承担法律责任，说明民事权利与义务相统一</w:t>
      </w:r>
    </w:p>
    <w:p>
      <w:pPr>
        <w:widowControl w:val="0"/>
        <w:spacing w:before="0" w:after="0" w:line="360" w:lineRule="auto"/>
        <w:rPr>
          <w:sz w:val="21"/>
          <w:szCs w:val="21"/>
        </w:rPr>
      </w:pPr>
      <w:r>
        <w:rPr>
          <w:rFonts w:ascii="SimSun" w:eastAsia="SimSun" w:hAnsi="SimSun" w:cs="SimSun"/>
          <w:sz w:val="21"/>
          <w:szCs w:val="21"/>
        </w:rPr>
        <w:t>④勋章是具有人身意义的特定物品，老朱有权请求精神损害赔偿</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rPr>
          <w:sz w:val="21"/>
          <w:szCs w:val="21"/>
        </w:rPr>
      </w:pPr>
      <w:r>
        <w:rPr>
          <w:sz w:val="21"/>
          <w:szCs w:val="21"/>
        </w:rPr>
        <w:t xml:space="preserve">16. </w:t>
      </w:r>
      <w:r>
        <w:rPr>
          <w:rFonts w:ascii="SimSun" w:eastAsia="SimSun" w:hAnsi="SimSun" w:cs="SimSun"/>
          <w:sz w:val="21"/>
          <w:szCs w:val="21"/>
        </w:rPr>
        <w:t>某地社区一日用百货商行的经营者，因在其经营场所内售卖假冒本地知名品牌的酱油和醋，被该品牌公司诉至法院，要求停止侵权并赔偿损失。该案件启示经营者（</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①应该保障消费者自主选择权和安全消费权</w:t>
      </w:r>
    </w:p>
    <w:p>
      <w:pPr>
        <w:widowControl w:val="0"/>
        <w:spacing w:before="0" w:after="0" w:line="360" w:lineRule="auto"/>
        <w:rPr>
          <w:sz w:val="21"/>
          <w:szCs w:val="21"/>
        </w:rPr>
      </w:pPr>
      <w:r>
        <w:rPr>
          <w:rFonts w:ascii="SimSun" w:eastAsia="SimSun" w:hAnsi="SimSun" w:cs="SimSun"/>
          <w:sz w:val="21"/>
          <w:szCs w:val="21"/>
        </w:rPr>
        <w:t>②应当遵守市场公平竞争和依法经营的规则</w:t>
      </w:r>
    </w:p>
    <w:p>
      <w:pPr>
        <w:widowControl w:val="0"/>
        <w:spacing w:before="0" w:after="0" w:line="360" w:lineRule="auto"/>
        <w:rPr>
          <w:sz w:val="21"/>
          <w:szCs w:val="21"/>
        </w:rPr>
      </w:pPr>
      <w:r>
        <w:rPr>
          <w:rFonts w:ascii="SimSun" w:eastAsia="SimSun" w:hAnsi="SimSun" w:cs="SimSun"/>
          <w:sz w:val="21"/>
          <w:szCs w:val="21"/>
        </w:rPr>
        <w:t>③不能对所经营商品质量等作虚假商业宣传</w:t>
      </w:r>
    </w:p>
    <w:p>
      <w:pPr>
        <w:widowControl w:val="0"/>
        <w:spacing w:before="0" w:after="0" w:line="360" w:lineRule="auto"/>
        <w:rPr>
          <w:sz w:val="21"/>
          <w:szCs w:val="21"/>
        </w:rPr>
      </w:pPr>
      <w:r>
        <w:rPr>
          <w:rFonts w:ascii="SimSun" w:eastAsia="SimSun" w:hAnsi="SimSun" w:cs="SimSun"/>
          <w:sz w:val="21"/>
          <w:szCs w:val="21"/>
        </w:rPr>
        <w:t>④要自觉维护消费者和其他经营者合法权益</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r>
        <w:rPr>
          <w:strike w:val="0"/>
          <w:sz w:val="21"/>
          <w:szCs w:val="21"/>
          <w:u w:val="none"/>
        </w:rPr>
        <w:drawing>
          <wp:inline>
            <wp:extent cx="28575" cy="28575"/>
            <wp:docPr id="100077" name=""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
                    <pic:cNvPicPr>
                      <a:picLocks noChangeAspect="1"/>
                    </pic:cNvPicPr>
                  </pic:nvPicPr>
                  <pic:blipFill>
                    <a:blip xmlns:r="http://schemas.openxmlformats.org/officeDocument/2006/relationships" r:embed="rId6"/>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jc w:val="both"/>
      </w:pPr>
      <w:r>
        <w:rPr>
          <w:rFonts w:ascii="SimSun" w:eastAsia="SimSun" w:hAnsi="SimSun" w:cs="SimSun"/>
          <w:b/>
          <w:bCs/>
        </w:rPr>
        <w:t>二、非选择题：本题共4小题，共52分。</w:t>
      </w:r>
    </w:p>
    <w:p>
      <w:pPr>
        <w:widowControl w:val="0"/>
        <w:spacing w:before="0" w:after="0" w:line="360" w:lineRule="auto"/>
        <w:rPr>
          <w:sz w:val="21"/>
          <w:szCs w:val="21"/>
        </w:rPr>
      </w:pPr>
      <w:r>
        <w:rPr>
          <w:sz w:val="21"/>
          <w:szCs w:val="21"/>
        </w:rPr>
        <w:t xml:space="preserve">17. </w:t>
      </w:r>
      <w:r>
        <w:rPr>
          <w:rFonts w:ascii="SimSun" w:eastAsia="SimSun" w:hAnsi="SimSun" w:cs="SimSun"/>
          <w:sz w:val="21"/>
          <w:szCs w:val="21"/>
        </w:rPr>
        <w:t>阅读材料，完成下列要求。</w:t>
      </w:r>
    </w:p>
    <w:p>
      <w:pPr>
        <w:widowControl w:val="0"/>
        <w:spacing w:before="0" w:after="0" w:line="360" w:lineRule="auto"/>
        <w:ind w:firstLine="420"/>
        <w:jc w:val="both"/>
        <w:rPr>
          <w:sz w:val="21"/>
          <w:szCs w:val="21"/>
        </w:rPr>
      </w:pPr>
      <w:r>
        <w:rPr>
          <w:rFonts w:ascii="KaiTi" w:eastAsia="KaiTi" w:hAnsi="KaiTi" w:cs="KaiTi"/>
          <w:sz w:val="21"/>
          <w:szCs w:val="21"/>
        </w:rPr>
        <w:t>材料一</w:t>
      </w:r>
      <w:r>
        <w:rPr>
          <w:rFonts w:ascii="KaiTi" w:eastAsia="KaiTi" w:hAnsi="KaiTi" w:cs="KaiTi"/>
          <w:sz w:val="21"/>
          <w:szCs w:val="21"/>
        </w:rPr>
        <w:t xml:space="preserve">  </w:t>
      </w:r>
      <w:r>
        <w:rPr>
          <w:rFonts w:ascii="KaiTi" w:eastAsia="KaiTi" w:hAnsi="KaiTi" w:cs="KaiTi"/>
          <w:sz w:val="21"/>
          <w:szCs w:val="21"/>
        </w:rPr>
        <w:t>2024年1—8月湖南经济运行总体平稳、稳中有进。下图为2024年1—8月，湖南全省规模工业增加值等的同比增长情况。</w:t>
      </w:r>
    </w:p>
    <w:p>
      <w:pPr>
        <w:widowControl w:val="0"/>
        <w:spacing w:before="0" w:after="0" w:line="360" w:lineRule="auto"/>
        <w:rPr>
          <w:sz w:val="21"/>
          <w:szCs w:val="21"/>
        </w:rPr>
      </w:pPr>
      <w:r>
        <w:rPr>
          <w:strike w:val="0"/>
          <w:sz w:val="21"/>
          <w:szCs w:val="21"/>
          <w:u w:val="none"/>
        </w:rPr>
        <w:drawing>
          <wp:inline>
            <wp:extent cx="5238750" cy="1771650"/>
            <wp:docPr id="100091"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
                    <pic:cNvPicPr>
                      <a:picLocks noChangeAspect="1"/>
                    </pic:cNvPicPr>
                  </pic:nvPicPr>
                  <pic:blipFill>
                    <a:blip xmlns:r="http://schemas.openxmlformats.org/officeDocument/2006/relationships" r:embed="rId13"/>
                    <a:stretch>
                      <a:fillRect/>
                    </a:stretch>
                  </pic:blipFill>
                  <pic:spPr>
                    <a:xfrm>
                      <a:off x="0" y="0"/>
                      <a:ext cx="5238750" cy="1771650"/>
                    </a:xfrm>
                    <a:prstGeom prst="rect">
                      <a:avLst/>
                    </a:prstGeom>
                  </pic:spPr>
                </pic:pic>
              </a:graphicData>
            </a:graphic>
          </wp:inline>
        </w:drawing>
      </w:r>
    </w:p>
    <w:p>
      <w:pPr>
        <w:widowControl w:val="0"/>
        <w:spacing w:before="0" w:after="0" w:line="360" w:lineRule="auto"/>
        <w:ind w:firstLine="420"/>
        <w:jc w:val="both"/>
        <w:rPr>
          <w:sz w:val="21"/>
          <w:szCs w:val="21"/>
        </w:rPr>
      </w:pPr>
      <w:r>
        <w:rPr>
          <w:rFonts w:ascii="KaiTi" w:eastAsia="KaiTi" w:hAnsi="KaiTi" w:cs="KaiTi"/>
          <w:sz w:val="21"/>
          <w:szCs w:val="21"/>
        </w:rPr>
        <w:t>湖南经济平稳运行，与湖南启动重点产业新增长极计划有关。从减税降费到资金补助，从人才引进到创新平台建设，湖南省政府为企业的快速发展提供坚实保障。中车株洲电力机车研究所有限公司是中国轨道交通装备领域的重要研发基地，为顺应“双碳”时代背景，公司聚焦电能转换控制，打通了覆盖新型电力系统“源网荷储”的全技术链和产业链，涌现新的经济增长点——清洁能源产业集群。</w:t>
      </w:r>
    </w:p>
    <w:p>
      <w:pPr>
        <w:widowControl w:val="0"/>
        <w:spacing w:before="0" w:after="0" w:line="360" w:lineRule="auto"/>
        <w:ind w:firstLine="420"/>
        <w:jc w:val="both"/>
        <w:rPr>
          <w:sz w:val="21"/>
          <w:szCs w:val="21"/>
        </w:rPr>
      </w:pPr>
      <w:r>
        <w:rPr>
          <w:rFonts w:ascii="KaiTi" w:eastAsia="KaiTi" w:hAnsi="KaiTi" w:cs="KaiTi"/>
          <w:sz w:val="21"/>
          <w:szCs w:val="21"/>
        </w:rPr>
        <w:t>材料二</w:t>
      </w:r>
      <w:r>
        <w:rPr>
          <w:rFonts w:ascii="KaiTi" w:eastAsia="KaiTi" w:hAnsi="KaiTi" w:cs="KaiTi"/>
          <w:sz w:val="21"/>
          <w:szCs w:val="21"/>
        </w:rPr>
        <w:t xml:space="preserve">  </w:t>
      </w:r>
      <w:r>
        <w:rPr>
          <w:rFonts w:ascii="KaiTi" w:eastAsia="KaiTi" w:hAnsi="KaiTi" w:cs="KaiTi"/>
          <w:sz w:val="21"/>
          <w:szCs w:val="21"/>
        </w:rPr>
        <w:t>法治是湖南经济社会高质量发展的重要保障。湖南省委制定了《省委领导地方立法工作规程（试行）》，为地方立法工作提供了根本遵循。省人大在立法项目选定上，坚持民有所呼、法有所应；深入基层、深入群众，广泛听取意见和建议；对省人大代表进行专业分组，从立项、起草、调研、论证、修改、审议、评估等全流程有针对性地吸收人大代表参与，不断扩大人大代表参与立法工作深度广度。</w:t>
      </w:r>
    </w:p>
    <w:p>
      <w:pPr>
        <w:widowControl w:val="0"/>
        <w:spacing w:before="0" w:after="0" w:line="360" w:lineRule="auto"/>
        <w:rPr>
          <w:sz w:val="21"/>
          <w:szCs w:val="21"/>
        </w:rPr>
      </w:pPr>
      <w:r>
        <w:rPr>
          <w:rFonts w:ascii="SimSun" w:eastAsia="SimSun" w:hAnsi="SimSun" w:cs="SimSun"/>
          <w:sz w:val="21"/>
          <w:szCs w:val="21"/>
        </w:rPr>
        <w:t>（</w:t>
      </w:r>
      <w:r>
        <w:rPr>
          <w:sz w:val="21"/>
          <w:szCs w:val="21"/>
        </w:rPr>
        <w:t>1</w:t>
      </w:r>
      <w:r>
        <w:rPr>
          <w:rFonts w:ascii="SimSun" w:eastAsia="SimSun" w:hAnsi="SimSun" w:cs="SimSun"/>
          <w:sz w:val="21"/>
          <w:szCs w:val="21"/>
        </w:rPr>
        <w:t>）解读材料一的图表信息。</w:t>
      </w:r>
    </w:p>
    <w:p>
      <w:pPr>
        <w:widowControl w:val="0"/>
        <w:spacing w:before="0" w:after="0" w:line="360" w:lineRule="auto"/>
        <w:rPr>
          <w:sz w:val="21"/>
          <w:szCs w:val="21"/>
        </w:rPr>
      </w:pPr>
      <w:r>
        <w:rPr>
          <w:rFonts w:ascii="SimSun" w:eastAsia="SimSun" w:hAnsi="SimSun" w:cs="SimSun"/>
          <w:sz w:val="21"/>
          <w:szCs w:val="21"/>
        </w:rPr>
        <w:t>（</w:t>
      </w:r>
      <w:r>
        <w:rPr>
          <w:sz w:val="21"/>
          <w:szCs w:val="21"/>
        </w:rPr>
        <w:t>2</w:t>
      </w:r>
      <w:r>
        <w:rPr>
          <w:rFonts w:ascii="SimSun" w:eastAsia="SimSun" w:hAnsi="SimSun" w:cs="SimSun"/>
          <w:sz w:val="21"/>
          <w:szCs w:val="21"/>
        </w:rPr>
        <w:t>）结合材料一，运用《经济与社会》的知识，阐释湖南成功培育重点产业新增长极的原因。</w:t>
      </w:r>
    </w:p>
    <w:p>
      <w:pPr>
        <w:widowControl w:val="0"/>
        <w:spacing w:before="0" w:after="0" w:line="360" w:lineRule="auto"/>
        <w:rPr>
          <w:sz w:val="21"/>
          <w:szCs w:val="21"/>
        </w:rPr>
      </w:pPr>
      <w:r>
        <w:rPr>
          <w:rFonts w:ascii="SimSun" w:eastAsia="SimSun" w:hAnsi="SimSun" w:cs="SimSun"/>
          <w:sz w:val="21"/>
          <w:szCs w:val="21"/>
        </w:rPr>
        <w:t>（</w:t>
      </w:r>
      <w:r>
        <w:rPr>
          <w:sz w:val="21"/>
          <w:szCs w:val="21"/>
        </w:rPr>
        <w:t>3</w:t>
      </w:r>
      <w:r>
        <w:rPr>
          <w:rFonts w:ascii="SimSun" w:eastAsia="SimSun" w:hAnsi="SimSun" w:cs="SimSun"/>
          <w:sz w:val="21"/>
          <w:szCs w:val="21"/>
        </w:rPr>
        <w:t>）结合材料二，运用《政治与法治》</w:t>
      </w:r>
      <w:r>
        <w:rPr>
          <w:strike w:val="0"/>
          <w:sz w:val="21"/>
          <w:szCs w:val="21"/>
          <w:u w:val="none"/>
        </w:rPr>
        <w:drawing>
          <wp:inline>
            <wp:extent cx="133350" cy="180975"/>
            <wp:docPr id="10009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
                    <pic:cNvPicPr>
                      <a:picLocks noChangeAspect="1"/>
                    </pic:cNvPicPr>
                  </pic:nvPicPr>
                  <pic:blipFill>
                    <a:blip xmlns:r="http://schemas.openxmlformats.org/officeDocument/2006/relationships" r:embed="rId5"/>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知识，说明湖南是如何为经济社会高质量发展提供法治保障的。</w:t>
      </w:r>
    </w:p>
    <w:p>
      <w:pPr>
        <w:widowControl w:val="0"/>
        <w:spacing w:before="0" w:after="0" w:line="360" w:lineRule="auto"/>
        <w:rPr>
          <w:sz w:val="21"/>
          <w:szCs w:val="21"/>
        </w:rPr>
      </w:pPr>
      <w:r>
        <w:rPr>
          <w:sz w:val="21"/>
          <w:szCs w:val="21"/>
        </w:rPr>
        <w:t xml:space="preserve">18. </w:t>
      </w:r>
      <w:r>
        <w:rPr>
          <w:rFonts w:ascii="SimSun" w:eastAsia="SimSun" w:hAnsi="SimSun" w:cs="SimSun"/>
          <w:sz w:val="21"/>
          <w:szCs w:val="21"/>
        </w:rPr>
        <w:t>阅读材料，完成下列要求。</w:t>
      </w:r>
    </w:p>
    <w:p>
      <w:pPr>
        <w:widowControl w:val="0"/>
        <w:spacing w:before="0" w:after="0" w:line="360" w:lineRule="auto"/>
        <w:ind w:firstLine="420"/>
        <w:jc w:val="both"/>
        <w:rPr>
          <w:sz w:val="21"/>
          <w:szCs w:val="21"/>
        </w:rPr>
      </w:pPr>
      <w:r>
        <w:rPr>
          <w:rFonts w:ascii="KaiTi" w:eastAsia="KaiTi" w:hAnsi="KaiTi" w:cs="KaiTi"/>
          <w:sz w:val="21"/>
          <w:szCs w:val="21"/>
        </w:rPr>
        <w:t>中国新能源产业发展是全球性贡献和机遇，担当了惠及全球的大国责任。</w:t>
      </w:r>
    </w:p>
    <w:p>
      <w:pPr>
        <w:widowControl w:val="0"/>
        <w:spacing w:before="0" w:after="0" w:line="360" w:lineRule="auto"/>
        <w:ind w:firstLine="420"/>
        <w:jc w:val="both"/>
        <w:rPr>
          <w:sz w:val="21"/>
          <w:szCs w:val="21"/>
        </w:rPr>
      </w:pPr>
      <w:r>
        <w:rPr>
          <w:rFonts w:ascii="KaiTi" w:eastAsia="KaiTi" w:hAnsi="KaiTi" w:cs="KaiTi"/>
          <w:sz w:val="21"/>
          <w:szCs w:val="21"/>
        </w:rPr>
        <w:t>赞比亚光伏电站、泰国水面漂浮光伏电站、乌兹别克斯坦1吉瓦光伏项目首期400兆瓦等项目纷纷实现并网发电……中国与100多个国家和地区开展绿色能源项目合作。国际可再生能源署报告显示，过去10年间，全球风电和光伏发电项目平均度电成本分别累计下降超过了60%和80%，这其中很大一部分归功于中国创新、中国制造、中国工程。中国与合作国家深入互动，通过技术转让和项目本地化普及技术进步，助力合作方培育经济新动能。</w:t>
      </w:r>
    </w:p>
    <w:p>
      <w:pPr>
        <w:widowControl w:val="0"/>
        <w:spacing w:before="0" w:after="0" w:line="360" w:lineRule="auto"/>
        <w:ind w:firstLine="420"/>
        <w:jc w:val="both"/>
        <w:rPr>
          <w:sz w:val="21"/>
          <w:szCs w:val="21"/>
        </w:rPr>
      </w:pPr>
      <w:r>
        <w:rPr>
          <w:rFonts w:ascii="KaiTi" w:eastAsia="KaiTi" w:hAnsi="KaiTi" w:cs="KaiTi"/>
          <w:sz w:val="21"/>
          <w:szCs w:val="21"/>
        </w:rPr>
        <w:t>凭借持续的技术创新、完善的产供链体系和充分的市场竞争，走向世界的中国新能源汽车产品，满足</w:t>
      </w:r>
      <w:r>
        <w:rPr>
          <w:strike w:val="0"/>
          <w:sz w:val="21"/>
          <w:szCs w:val="21"/>
          <w:u w:val="none"/>
        </w:rPr>
        <w:drawing>
          <wp:inline>
            <wp:extent cx="28575" cy="28575"/>
            <wp:docPr id="100095" name=""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
                    <pic:cNvPicPr>
                      <a:picLocks noChangeAspect="1"/>
                    </pic:cNvPicPr>
                  </pic:nvPicPr>
                  <pic:blipFill>
                    <a:blip xmlns:r="http://schemas.openxmlformats.org/officeDocument/2006/relationships" r:embed="rId6"/>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jc w:val="both"/>
        <w:rPr>
          <w:sz w:val="21"/>
          <w:szCs w:val="21"/>
        </w:rPr>
      </w:pPr>
      <w:r>
        <w:rPr>
          <w:rFonts w:ascii="KaiTi" w:eastAsia="KaiTi" w:hAnsi="KaiTi" w:cs="KaiTi"/>
          <w:sz w:val="21"/>
          <w:szCs w:val="21"/>
        </w:rPr>
        <w:t>更多消费者需求。2024年1—4月，中国新能源汽车出口42.1万辆，同比增长20.8%。</w:t>
      </w:r>
    </w:p>
    <w:p>
      <w:pPr>
        <w:widowControl w:val="0"/>
        <w:spacing w:before="0" w:after="0" w:line="360" w:lineRule="auto"/>
        <w:rPr>
          <w:sz w:val="21"/>
          <w:szCs w:val="21"/>
        </w:rPr>
      </w:pPr>
      <w:r>
        <w:rPr>
          <w:rFonts w:ascii="SimSun" w:eastAsia="SimSun" w:hAnsi="SimSun" w:cs="SimSun"/>
          <w:sz w:val="21"/>
          <w:szCs w:val="21"/>
        </w:rPr>
        <w:t>中国新能源产业发展是全球性贡献和机遇。结合材料，运用“经济全球化”知识加以说明。</w:t>
      </w:r>
    </w:p>
    <w:p>
      <w:pPr>
        <w:widowControl w:val="0"/>
        <w:spacing w:before="0" w:after="0" w:line="360" w:lineRule="auto"/>
        <w:rPr>
          <w:sz w:val="21"/>
          <w:szCs w:val="21"/>
        </w:rPr>
      </w:pPr>
      <w:r>
        <w:rPr>
          <w:sz w:val="21"/>
          <w:szCs w:val="21"/>
        </w:rPr>
        <w:t xml:space="preserve">19. </w:t>
      </w:r>
      <w:r>
        <w:rPr>
          <w:rFonts w:ascii="SimSun" w:eastAsia="SimSun" w:hAnsi="SimSun" w:cs="SimSun"/>
          <w:sz w:val="21"/>
          <w:szCs w:val="21"/>
        </w:rPr>
        <w:t>阅读材料，完成下列要求。</w:t>
      </w:r>
    </w:p>
    <w:tbl>
      <w:tblPr>
        <w:tblW w:w="6450" w:type="dxa"/>
        <w:tblInd w:w="128" w:type="dxa"/>
        <w:tblBorders>
          <w:top w:val="single" w:sz="6" w:space="0" w:color="000000"/>
          <w:left w:val="single" w:sz="6" w:space="0" w:color="000000"/>
          <w:bottom w:val="single" w:sz="6" w:space="0" w:color="000000"/>
          <w:right w:val="single" w:sz="6" w:space="0" w:color="000000"/>
        </w:tblBorders>
        <w:tblCellMar>
          <w:top w:w="0" w:type="dxa"/>
          <w:left w:w="0" w:type="dxa"/>
          <w:bottom w:w="0" w:type="dxa"/>
          <w:right w:w="0" w:type="dxa"/>
        </w:tblCellMar>
      </w:tblPr>
      <w:tblGrid>
        <w:gridCol w:w="16608"/>
        <w:gridCol w:w="15072"/>
      </w:tblGrid>
      <w:tr>
        <w:tblPrEx>
          <w:tblW w:w="6450" w:type="dxa"/>
          <w:tblInd w:w="128" w:type="dxa"/>
          <w:tblBorders>
            <w:top w:val="single" w:sz="6" w:space="0" w:color="000000"/>
            <w:left w:val="single" w:sz="6" w:space="0" w:color="000000"/>
            <w:bottom w:val="single" w:sz="6" w:space="0" w:color="000000"/>
            <w:right w:val="single" w:sz="6" w:space="0" w:color="000000"/>
          </w:tblBorders>
          <w:tblCellMar>
            <w:top w:w="0" w:type="dxa"/>
            <w:left w:w="0" w:type="dxa"/>
            <w:bottom w:w="0" w:type="dxa"/>
            <w:right w:w="0" w:type="dxa"/>
          </w:tblCellMar>
        </w:tblPrEx>
        <w:tc>
          <w:tcPr>
            <w:tcW w:w="2685" w:type="dxa"/>
            <w:tcBorders>
              <w:bottom w:val="single" w:sz="6" w:space="0" w:color="000000"/>
              <w:right w:val="single" w:sz="6" w:space="0" w:color="000000"/>
            </w:tcBorders>
            <w:noWrap w:val="0"/>
            <w:tcMar>
              <w:top w:w="76" w:type="dxa"/>
              <w:left w:w="120" w:type="dxa"/>
              <w:bottom w:w="76" w:type="dxa"/>
              <w:right w:w="120" w:type="dxa"/>
            </w:tcMar>
            <w:vAlign w:val="center"/>
            <w:hideMark/>
          </w:tcPr>
          <w:p>
            <w:pPr>
              <w:widowControl w:val="0"/>
              <w:spacing w:before="0" w:after="0" w:line="360" w:lineRule="auto"/>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案例一</w:t>
            </w:r>
          </w:p>
        </w:tc>
        <w:tc>
          <w:tcPr>
            <w:tcW w:w="3405" w:type="dxa"/>
            <w:tcBorders>
              <w:left w:val="single" w:sz="6" w:space="0" w:color="000000"/>
              <w:bottom w:val="single" w:sz="6" w:space="0" w:color="000000"/>
            </w:tcBorders>
            <w:noWrap w:val="0"/>
            <w:tcMar>
              <w:top w:w="76" w:type="dxa"/>
              <w:left w:w="120" w:type="dxa"/>
              <w:bottom w:w="76" w:type="dxa"/>
              <w:right w:w="120" w:type="dxa"/>
            </w:tcMar>
            <w:vAlign w:val="center"/>
            <w:hideMark/>
          </w:tcPr>
          <w:p>
            <w:pPr>
              <w:widowControl w:val="0"/>
              <w:spacing w:before="0" w:after="0" w:line="360" w:lineRule="auto"/>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案例二</w:t>
            </w:r>
          </w:p>
        </w:tc>
      </w:tr>
      <w:tr>
        <w:tblPrEx>
          <w:tblW w:w="6450" w:type="dxa"/>
          <w:tblInd w:w="128" w:type="dxa"/>
          <w:tblCellMar>
            <w:top w:w="0" w:type="dxa"/>
            <w:left w:w="0" w:type="dxa"/>
            <w:bottom w:w="0" w:type="dxa"/>
            <w:right w:w="0" w:type="dxa"/>
          </w:tblCellMar>
        </w:tblPrEx>
        <w:tc>
          <w:tcPr>
            <w:tcW w:w="2685" w:type="dxa"/>
            <w:tcBorders>
              <w:top w:val="single" w:sz="6" w:space="0" w:color="000000"/>
              <w:bottom w:val="single" w:sz="6" w:space="0" w:color="000000"/>
              <w:right w:val="single" w:sz="6" w:space="0" w:color="000000"/>
            </w:tcBorders>
            <w:noWrap w:val="0"/>
            <w:tcMar>
              <w:top w:w="76" w:type="dxa"/>
              <w:left w:w="120" w:type="dxa"/>
              <w:bottom w:w="76" w:type="dxa"/>
              <w:right w:w="120" w:type="dxa"/>
            </w:tcMar>
            <w:vAlign w:val="center"/>
            <w:hideMark/>
          </w:tcPr>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蒋女士在某超市购物结算后，推着购物车乘电扶梯离开。在到达电扶梯出口处，因电扶梯比出口处地面低，购车不能正常推动，致蒋女士跌倒。经医院确诊，蒋女士左腕关节大多角撕脱骨折。双方协商无果，对簿公堂。</w:t>
            </w:r>
          </w:p>
        </w:tc>
        <w:tc>
          <w:tcPr>
            <w:tcW w:w="3405" w:type="dxa"/>
            <w:tcBorders>
              <w:top w:val="single" w:sz="6" w:space="0" w:color="000000"/>
              <w:left w:val="single" w:sz="6" w:space="0" w:color="000000"/>
              <w:bottom w:val="single" w:sz="6" w:space="0" w:color="000000"/>
            </w:tcBorders>
            <w:noWrap w:val="0"/>
            <w:tcMar>
              <w:top w:w="76" w:type="dxa"/>
              <w:left w:w="120" w:type="dxa"/>
              <w:bottom w:w="76" w:type="dxa"/>
              <w:right w:w="120" w:type="dxa"/>
            </w:tcMar>
            <w:vAlign w:val="center"/>
            <w:hideMark/>
          </w:tcPr>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赵女士到某菜市场买菜，不留神踩着地上一个莴笋头，当即摔倒在地，经医院诊断为头颈部外伤及多处软组织损伤。赵女士要求对菜市场负有管理责任的某物业公司赔偿，但遭到拒绝，遂告上法庭。</w:t>
            </w:r>
          </w:p>
        </w:tc>
      </w:tr>
      <w:tr>
        <w:tblPrEx>
          <w:tblW w:w="6450" w:type="dxa"/>
          <w:tblInd w:w="128" w:type="dxa"/>
          <w:tblCellMar>
            <w:top w:w="0" w:type="dxa"/>
            <w:left w:w="0" w:type="dxa"/>
            <w:bottom w:w="0" w:type="dxa"/>
            <w:right w:w="0" w:type="dxa"/>
          </w:tblCellMar>
        </w:tblPrEx>
        <w:trPr>
          <w:trHeight w:val="241"/>
        </w:trPr>
        <w:tc>
          <w:tcPr>
            <w:tcW w:w="6090" w:type="dxa"/>
            <w:gridSpan w:val="2"/>
            <w:tcBorders>
              <w:top w:val="single" w:sz="6" w:space="0" w:color="000000"/>
            </w:tcBorders>
            <w:noWrap w:val="0"/>
            <w:tcMar>
              <w:top w:w="76" w:type="dxa"/>
              <w:left w:w="120" w:type="dxa"/>
              <w:bottom w:w="76" w:type="dxa"/>
              <w:right w:w="120" w:type="dxa"/>
            </w:tcMar>
            <w:vAlign w:val="center"/>
            <w:hideMark/>
          </w:tcPr>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法律条文：民法典第一千一百九十八条</w:t>
            </w:r>
            <w:r>
              <w:rPr>
                <w:rFonts w:ascii="KaiTi" w:eastAsia="KaiTi" w:hAnsi="KaiTi" w:cs="KaiTi"/>
                <w:b w:val="0"/>
                <w:bCs w:val="0"/>
                <w:i w:val="0"/>
                <w:iCs w:val="0"/>
                <w:smallCaps w:val="0"/>
                <w:color w:val="000000"/>
                <w:sz w:val="21"/>
                <w:szCs w:val="21"/>
              </w:rPr>
              <w:t xml:space="preserve">  </w:t>
            </w:r>
            <w:r>
              <w:rPr>
                <w:rFonts w:ascii="KaiTi" w:eastAsia="KaiTi" w:hAnsi="KaiTi" w:cs="KaiTi"/>
                <w:b w:val="0"/>
                <w:bCs w:val="0"/>
                <w:i w:val="0"/>
                <w:iCs w:val="0"/>
                <w:smallCaps w:val="0"/>
                <w:color w:val="000000"/>
                <w:sz w:val="21"/>
                <w:szCs w:val="21"/>
              </w:rPr>
              <w:t>宾馆、商场、银行、车站、娱乐场所等公共场所的经营者、管理者或者群众性活动的组织者，未尽到安全保障义务，造成他人损害的，应当承担侵权责任。</w:t>
            </w:r>
          </w:p>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民法典第一千一百七十三条</w:t>
            </w:r>
            <w:r>
              <w:rPr>
                <w:rFonts w:ascii="KaiTi" w:eastAsia="KaiTi" w:hAnsi="KaiTi" w:cs="KaiTi"/>
                <w:b w:val="0"/>
                <w:bCs w:val="0"/>
                <w:i w:val="0"/>
                <w:iCs w:val="0"/>
                <w:smallCaps w:val="0"/>
                <w:color w:val="000000"/>
                <w:sz w:val="21"/>
                <w:szCs w:val="21"/>
              </w:rPr>
              <w:t xml:space="preserve">  </w:t>
            </w:r>
            <w:r>
              <w:rPr>
                <w:rFonts w:ascii="KaiTi" w:eastAsia="KaiTi" w:hAnsi="KaiTi" w:cs="KaiTi"/>
                <w:b w:val="0"/>
                <w:bCs w:val="0"/>
                <w:i w:val="0"/>
                <w:iCs w:val="0"/>
                <w:smallCaps w:val="0"/>
                <w:color w:val="000000"/>
                <w:sz w:val="21"/>
                <w:szCs w:val="21"/>
              </w:rPr>
              <w:t>被侵权人对同一损害的发生或者扩大有过错的，可以减轻侵权人的责任。</w:t>
            </w:r>
          </w:p>
        </w:tc>
      </w:tr>
    </w:tbl>
    <w:p>
      <w:pPr>
        <w:widowControl w:val="0"/>
        <w:spacing w:before="0" w:after="0" w:line="360" w:lineRule="auto"/>
        <w:rPr>
          <w:sz w:val="21"/>
          <w:szCs w:val="21"/>
        </w:rPr>
      </w:pPr>
      <w:r>
        <w:rPr>
          <w:rFonts w:ascii="SimSun" w:eastAsia="SimSun" w:hAnsi="SimSun" w:cs="SimSun"/>
          <w:sz w:val="21"/>
          <w:szCs w:val="21"/>
        </w:rPr>
        <w:t>结合材料，运用《法律与生活》的知识，对上述案例分别予以分析。</w:t>
      </w:r>
    </w:p>
    <w:p>
      <w:pPr>
        <w:widowControl w:val="0"/>
        <w:spacing w:before="0" w:after="0" w:line="360" w:lineRule="auto"/>
        <w:rPr>
          <w:sz w:val="21"/>
          <w:szCs w:val="21"/>
        </w:rPr>
      </w:pPr>
      <w:r>
        <w:rPr>
          <w:sz w:val="21"/>
          <w:szCs w:val="21"/>
        </w:rPr>
        <w:t xml:space="preserve">20. </w:t>
      </w:r>
      <w:r>
        <w:rPr>
          <w:rFonts w:ascii="SimSun" w:eastAsia="SimSun" w:hAnsi="SimSun" w:cs="SimSun"/>
          <w:sz w:val="21"/>
          <w:szCs w:val="21"/>
        </w:rPr>
        <w:t>阅读材料，完成下列要求。</w:t>
      </w:r>
    </w:p>
    <w:p>
      <w:pPr>
        <w:widowControl w:val="0"/>
        <w:spacing w:before="0" w:after="0" w:line="360" w:lineRule="auto"/>
        <w:ind w:firstLine="420"/>
        <w:jc w:val="both"/>
        <w:rPr>
          <w:sz w:val="21"/>
          <w:szCs w:val="21"/>
        </w:rPr>
      </w:pPr>
      <w:r>
        <w:rPr>
          <w:rFonts w:ascii="KaiTi" w:eastAsia="KaiTi" w:hAnsi="KaiTi" w:cs="KaiTi"/>
          <w:sz w:val="21"/>
          <w:szCs w:val="21"/>
        </w:rPr>
        <w:t>怀化市安江镇，是世界稻作文明和杂交水稻的发源地。</w:t>
      </w:r>
    </w:p>
    <w:p>
      <w:pPr>
        <w:widowControl w:val="0"/>
        <w:spacing w:before="0" w:after="0" w:line="360" w:lineRule="auto"/>
        <w:ind w:firstLine="420"/>
        <w:jc w:val="both"/>
        <w:rPr>
          <w:sz w:val="21"/>
          <w:szCs w:val="21"/>
        </w:rPr>
      </w:pPr>
      <w:r>
        <w:rPr>
          <w:rFonts w:ascii="KaiTi" w:eastAsia="KaiTi" w:hAnsi="KaiTi" w:cs="KaiTi"/>
          <w:sz w:val="21"/>
          <w:szCs w:val="21"/>
        </w:rPr>
        <w:t>7800年前，湖南安江高庙先民在此繁衍生息，创造了灿烂的高庙文化。高庙遗址保护利用中心，稻谷等展品，宛如一部无字史书，向人们展示着数千年前先民们刀耕火种、筚路蓝缕的智慧和勤劳，又如同一把“密钥”，打开了通往远古农耕文明的神秘之门。70年前，青年袁隆平踏进与高庙遗址隔江相望的安江农校，在这里工作生活了37年，成功培育出第一株杂交水稻，创造了“一粒种子改变世界”的当代传奇。“上下七千年，古今两神农”。碳化稻谷粒与杂交水稻，远古与当下，厚重的农耕文化在岁月的长河中不断沉淀积累。</w:t>
      </w:r>
    </w:p>
    <w:p>
      <w:pPr>
        <w:widowControl w:val="0"/>
        <w:spacing w:before="0" w:after="0" w:line="360" w:lineRule="auto"/>
        <w:ind w:firstLine="420"/>
        <w:jc w:val="both"/>
        <w:rPr>
          <w:sz w:val="21"/>
          <w:szCs w:val="21"/>
        </w:rPr>
      </w:pPr>
      <w:r>
        <w:rPr>
          <w:rFonts w:ascii="KaiTi" w:eastAsia="KaiTi" w:hAnsi="KaiTi" w:cs="KaiTi"/>
          <w:sz w:val="21"/>
          <w:szCs w:val="21"/>
        </w:rPr>
        <w:t>如今，在这片土地上，“一粒种子”的传承仍在持续。从传统的耕作方式到现代化的农业技术，从单一的种植结构到多元化的农业产业，与乡村振兴战略同频共振，这里的农耕文化和农业生产正在经历着新发展——“一粒种子”在这里逐渐长成“世界稻都”。</w:t>
      </w:r>
    </w:p>
    <w:p>
      <w:pPr>
        <w:widowControl w:val="0"/>
        <w:spacing w:before="0" w:after="0" w:line="360" w:lineRule="auto"/>
        <w:rPr>
          <w:sz w:val="21"/>
          <w:szCs w:val="21"/>
        </w:rPr>
      </w:pPr>
      <w:r>
        <w:rPr>
          <w:rFonts w:ascii="SimSun" w:eastAsia="SimSun" w:hAnsi="SimSun" w:cs="SimSun"/>
          <w:sz w:val="21"/>
          <w:szCs w:val="21"/>
        </w:rPr>
        <w:t>（</w:t>
      </w:r>
      <w:r>
        <w:rPr>
          <w:sz w:val="21"/>
          <w:szCs w:val="21"/>
        </w:rPr>
        <w:t>1</w:t>
      </w:r>
      <w:r>
        <w:rPr>
          <w:rFonts w:ascii="SimSun" w:eastAsia="SimSun" w:hAnsi="SimSun" w:cs="SimSun"/>
          <w:sz w:val="21"/>
          <w:szCs w:val="21"/>
        </w:rPr>
        <w:t>）结合材料，运用“文化传承与文化创新”知识，阐释安江的每一粒种子都承载着厚重的历史与未来。</w:t>
      </w:r>
    </w:p>
    <w:p>
      <w:pPr>
        <w:widowControl w:val="0"/>
        <w:spacing w:before="0" w:after="0" w:line="360" w:lineRule="auto"/>
        <w:rPr>
          <w:sz w:val="21"/>
          <w:szCs w:val="21"/>
        </w:rPr>
      </w:pPr>
      <w:r>
        <w:rPr>
          <w:rFonts w:ascii="SimSun" w:eastAsia="SimSun" w:hAnsi="SimSun" w:cs="SimSun"/>
          <w:sz w:val="21"/>
          <w:szCs w:val="21"/>
        </w:rPr>
        <w:t>（</w:t>
      </w:r>
      <w:r>
        <w:rPr>
          <w:sz w:val="21"/>
          <w:szCs w:val="21"/>
        </w:rPr>
        <w:t>2</w:t>
      </w:r>
      <w:r>
        <w:rPr>
          <w:rFonts w:ascii="SimSun" w:eastAsia="SimSun" w:hAnsi="SimSun" w:cs="SimSun"/>
          <w:sz w:val="21"/>
          <w:szCs w:val="21"/>
        </w:rPr>
        <w:t>）“一粒种子”在这里逐渐长成“世界稻都”。结合材料，运用联系的特征的有关知识对此加以说明。</w:t>
      </w:r>
      <w:r>
        <w:rPr>
          <w:strike w:val="0"/>
          <w:sz w:val="21"/>
          <w:szCs w:val="21"/>
          <w:u w:val="none"/>
        </w:rPr>
        <w:drawing>
          <wp:inline>
            <wp:extent cx="28575" cy="28575"/>
            <wp:docPr id="100109" name=""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
                    <pic:cNvPicPr>
                      <a:picLocks noChangeAspect="1"/>
                    </pic:cNvPicPr>
                  </pic:nvPicPr>
                  <pic:blipFill>
                    <a:blip xmlns:r="http://schemas.openxmlformats.org/officeDocument/2006/relationships" r:embed="rId6"/>
                    <a:stretch>
                      <a:fillRect/>
                    </a:stretch>
                  </pic:blipFill>
                  <pic:spPr>
                    <a:xfrm>
                      <a:off x="0" y="0"/>
                      <a:ext cx="28575" cy="28575"/>
                    </a:xfrm>
                    <a:prstGeom prst="rect">
                      <a:avLst/>
                    </a:prstGeom>
                  </pic:spPr>
                </pic:pic>
              </a:graphicData>
            </a:graphic>
          </wp:inline>
        </w:drawing>
      </w:r>
    </w:p>
    <w:sectPr>
      <w:type w:val="continuous"/>
      <w:pgSz w:w="11927" w:h="16875"/>
      <w:pgMar w:top="800" w:right="1120" w:bottom="540" w:left="11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8.png"/><Relationship Id="rId13" Type="http://schemas.openxmlformats.org/officeDocument/2006/relationships/image" Target="media/image9.png"/><Relationship Id="rId16" Type="http://schemas.openxmlformats.org/officeDocument/2006/relationships/theme" Target="theme/theme1.xml"/><Relationship Id="rId17"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