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1.0 -->
  <w:body>
    <w:p>
      <w:pPr>
        <w:widowControl w:val="0"/>
        <w:spacing w:before="0" w:after="0" w:line="360" w:lineRule="auto"/>
        <w:jc w:val="center"/>
        <w:rPr>
          <w:sz w:val="32"/>
          <w:szCs w:val="32"/>
        </w:rPr>
      </w:pPr>
      <w:r>
        <w:rPr>
          <w:strike w:val="0"/>
          <w:sz w:val="32"/>
          <w:szCs w:val="32"/>
          <w:u w:val="none"/>
        </w:rPr>
        <w:drawing>
          <wp:anchor simplePos="0" relativeHeight="251658240" behindDoc="0" locked="0" layoutInCell="1" allowOverlap="1">
            <wp:simplePos x="0" y="0"/>
            <wp:positionH relativeFrom="page">
              <wp:posOffset>10617200</wp:posOffset>
            </wp:positionH>
            <wp:positionV relativeFrom="topMargin">
              <wp:posOffset>11480800</wp:posOffset>
            </wp:positionV>
            <wp:extent cx="361950" cy="32385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61950" cy="323850"/>
                    </a:xfrm>
                    <a:prstGeom prst="rect">
                      <a:avLst/>
                    </a:prstGeom>
                  </pic:spPr>
                </pic:pic>
              </a:graphicData>
            </a:graphic>
          </wp:anchor>
        </w:drawing>
      </w:r>
      <w:r>
        <w:rPr>
          <w:rFonts w:ascii="SimSun" w:eastAsia="SimSun" w:hAnsi="SimSun" w:cs="SimSun"/>
          <w:b/>
          <w:bCs/>
          <w:sz w:val="32"/>
          <w:szCs w:val="32"/>
        </w:rPr>
        <w:t>高三思想政治</w:t>
      </w:r>
    </w:p>
    <w:p>
      <w:pPr>
        <w:widowControl w:val="0"/>
        <w:spacing w:before="0" w:after="0" w:line="360" w:lineRule="auto"/>
        <w:jc w:val="both"/>
      </w:pPr>
      <w:r>
        <w:rPr>
          <w:rFonts w:ascii="SimSun" w:eastAsia="SimSun" w:hAnsi="SimSun" w:cs="SimSun"/>
          <w:b/>
          <w:bCs/>
        </w:rPr>
        <w:t>考生注意：</w:t>
      </w:r>
    </w:p>
    <w:p>
      <w:pPr>
        <w:widowControl w:val="0"/>
        <w:spacing w:before="0" w:after="0" w:line="360" w:lineRule="auto"/>
        <w:jc w:val="both"/>
      </w:pPr>
      <w:r>
        <w:rPr>
          <w:rFonts w:ascii="SimSun" w:eastAsia="SimSun" w:hAnsi="SimSun" w:cs="SimSun"/>
          <w:b/>
          <w:bCs/>
        </w:rPr>
        <w:t>1．答题前，考生务必将自己的姓名、考生号填写在试卷和答题卡上，并将考生号条形码粘贴在答题卡上的指定位置。</w:t>
      </w:r>
    </w:p>
    <w:p>
      <w:pPr>
        <w:widowControl w:val="0"/>
        <w:spacing w:before="0" w:after="0" w:line="360" w:lineRule="auto"/>
        <w:jc w:val="both"/>
      </w:pPr>
      <w:r>
        <w:rPr>
          <w:rFonts w:ascii="SimSun" w:eastAsia="SimSun" w:hAnsi="SimSun" w:cs="SimSun"/>
          <w:b/>
          <w:bCs/>
        </w:rPr>
        <w:t>2．回答选择题时，选出每小题答案后，用铅笔把答题卡对应题目的答案标号涂黑。如需改动，用橡皮擦干净后，再选涂其他答案标号。回答非选择题时，将答案写在答题卡上。写在本试卷上无效。</w:t>
      </w:r>
    </w:p>
    <w:p>
      <w:pPr>
        <w:widowControl w:val="0"/>
        <w:spacing w:before="0" w:after="0" w:line="360" w:lineRule="auto"/>
        <w:jc w:val="both"/>
      </w:pPr>
      <w:r>
        <w:rPr>
          <w:rFonts w:ascii="SimSun" w:eastAsia="SimSun" w:hAnsi="SimSun" w:cs="SimSun"/>
          <w:b/>
          <w:bCs/>
        </w:rPr>
        <w:t>3．考试结束后，将本试卷和答题卡一并交回。</w:t>
      </w:r>
    </w:p>
    <w:p>
      <w:pPr>
        <w:widowControl w:val="0"/>
        <w:spacing w:before="0" w:after="0" w:line="360" w:lineRule="auto"/>
        <w:jc w:val="both"/>
      </w:pPr>
      <w:r>
        <w:rPr>
          <w:rFonts w:ascii="SimSun" w:eastAsia="SimSun" w:hAnsi="SimSun" w:cs="SimSun"/>
          <w:b/>
          <w:bCs/>
        </w:rPr>
        <w:t>一、选择题：本题共16小题，每小题3分，共48分。在每小题给出的四个选项中，只有一项是符合题目要求的。</w:t>
      </w:r>
    </w:p>
    <w:p>
      <w:pPr>
        <w:widowControl w:val="0"/>
        <w:spacing w:before="0" w:after="0" w:line="360" w:lineRule="auto"/>
        <w:rPr>
          <w:sz w:val="21"/>
          <w:szCs w:val="21"/>
        </w:rPr>
      </w:pPr>
      <w:r>
        <w:rPr>
          <w:sz w:val="21"/>
          <w:szCs w:val="21"/>
        </w:rPr>
        <w:t xml:space="preserve">1. </w:t>
      </w:r>
      <w:r>
        <w:rPr>
          <w:rFonts w:ascii="SimSun" w:eastAsia="SimSun" w:hAnsi="SimSun" w:cs="SimSun"/>
          <w:sz w:val="21"/>
          <w:szCs w:val="21"/>
        </w:rPr>
        <w:t>三百多年前在西欧出现了劳动同劳动的客观条件分离（商品交换）的情况，正是当时的商人和高利贷者把积累起来的货币，用来购买劳动的客观条件和劳动力，并把它们变成生产资本，货币所有者因此变成了资本家。从中我们可以看出（</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①上层建筑为先进的经济基础服务就会推动社会进步</w:t>
      </w:r>
    </w:p>
    <w:p>
      <w:pPr>
        <w:widowControl w:val="0"/>
        <w:spacing w:before="0" w:after="0" w:line="360" w:lineRule="auto"/>
        <w:rPr>
          <w:sz w:val="21"/>
          <w:szCs w:val="21"/>
        </w:rPr>
      </w:pPr>
      <w:r>
        <w:rPr>
          <w:rFonts w:ascii="SimSun" w:eastAsia="SimSun" w:hAnsi="SimSun" w:cs="SimSun"/>
          <w:sz w:val="21"/>
          <w:szCs w:val="21"/>
        </w:rPr>
        <w:t>②商品交换发展是资本主义生产关系形成的重要原因</w:t>
      </w:r>
    </w:p>
    <w:p>
      <w:pPr>
        <w:widowControl w:val="0"/>
        <w:spacing w:before="0" w:after="0" w:line="360" w:lineRule="auto"/>
        <w:rPr>
          <w:sz w:val="21"/>
          <w:szCs w:val="21"/>
        </w:rPr>
      </w:pPr>
      <w:r>
        <w:rPr>
          <w:rFonts w:ascii="SimSun" w:eastAsia="SimSun" w:hAnsi="SimSun" w:cs="SimSun"/>
          <w:sz w:val="21"/>
          <w:szCs w:val="21"/>
        </w:rPr>
        <w:t>③资本主义生产关系的建立必需大量的货币作为资本</w:t>
      </w:r>
    </w:p>
    <w:p>
      <w:pPr>
        <w:widowControl w:val="0"/>
        <w:spacing w:before="0" w:after="0" w:line="360" w:lineRule="auto"/>
        <w:rPr>
          <w:sz w:val="21"/>
          <w:szCs w:val="21"/>
        </w:rPr>
      </w:pPr>
      <w:r>
        <w:rPr>
          <w:rFonts w:ascii="SimSun" w:eastAsia="SimSun" w:hAnsi="SimSun" w:cs="SimSun"/>
          <w:sz w:val="21"/>
          <w:szCs w:val="21"/>
        </w:rPr>
        <w:t>④资本主义的发展使新兴资产阶级显示出很大的优势</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C</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w:t>
      </w:r>
      <w:r>
        <w:rPr>
          <w:rFonts w:ascii="Cambria Math" w:eastAsia="Cambria Math" w:hAnsi="Cambria Math" w:cs="Cambria Math"/>
          <w:sz w:val="21"/>
          <w:szCs w:val="21"/>
        </w:rPr>
        <w:t>②③</w:t>
      </w:r>
      <w:r>
        <w:rPr>
          <w:rFonts w:ascii="SimSun" w:eastAsia="SimSun" w:hAnsi="SimSun" w:cs="SimSun"/>
          <w:sz w:val="21"/>
          <w:szCs w:val="21"/>
        </w:rPr>
        <w:t>：由于商品交换的出现，商人和高利贷者把积累起来的货币，用来购买劳动的客观条件和劳动力，并把它们变成生产资本，货币所有者因此变成了资本家。可见，资本主义生产关系的建立必需大量的货币作为资本，商品交换发展是资本主义生产关系形成的重要原因，</w:t>
      </w:r>
      <w:r>
        <w:rPr>
          <w:rFonts w:ascii="Cambria Math" w:eastAsia="Cambria Math" w:hAnsi="Cambria Math" w:cs="Cambria Math"/>
          <w:sz w:val="21"/>
          <w:szCs w:val="21"/>
        </w:rPr>
        <w:t>②③</w:t>
      </w:r>
      <w:r>
        <w:rPr>
          <w:rFonts w:ascii="SimSun" w:eastAsia="SimSun" w:hAnsi="SimSun" w:cs="SimSun"/>
          <w:sz w:val="21"/>
          <w:szCs w:val="21"/>
        </w:rPr>
        <w:t>正确。</w:t>
      </w:r>
    </w:p>
    <w:p>
      <w:pPr>
        <w:widowControl w:val="0"/>
        <w:spacing w:before="0" w:after="0" w:line="360" w:lineRule="auto"/>
        <w:rPr>
          <w:sz w:val="21"/>
          <w:szCs w:val="21"/>
        </w:rPr>
      </w:pPr>
      <w:r>
        <w:rPr>
          <w:rFonts w:ascii="Cambria Math" w:eastAsia="Cambria Math" w:hAnsi="Cambria Math" w:cs="Cambria Math"/>
          <w:sz w:val="21"/>
          <w:szCs w:val="21"/>
        </w:rPr>
        <w:t>①</w:t>
      </w:r>
      <w:r>
        <w:rPr>
          <w:rFonts w:ascii="SimSun" w:eastAsia="SimSun" w:hAnsi="SimSun" w:cs="SimSun"/>
          <w:sz w:val="21"/>
          <w:szCs w:val="21"/>
        </w:rPr>
        <w:t>：材料强调资本主义生产关系建立的条件，没有体现上层建筑与经济基础的关系，</w:t>
      </w:r>
      <w:r>
        <w:rPr>
          <w:rFonts w:ascii="Cambria Math" w:eastAsia="Cambria Math" w:hAnsi="Cambria Math" w:cs="Cambria Math"/>
          <w:sz w:val="21"/>
          <w:szCs w:val="21"/>
        </w:rPr>
        <w:t>①</w:t>
      </w:r>
      <w:r>
        <w:rPr>
          <w:rFonts w:ascii="SimSun" w:eastAsia="SimSun" w:hAnsi="SimSun" w:cs="SimSun"/>
          <w:sz w:val="21"/>
          <w:szCs w:val="21"/>
        </w:rPr>
        <w:t>排除。</w:t>
      </w:r>
    </w:p>
    <w:p>
      <w:pPr>
        <w:widowControl w:val="0"/>
        <w:spacing w:before="0" w:after="0" w:line="360" w:lineRule="auto"/>
        <w:rPr>
          <w:sz w:val="21"/>
          <w:szCs w:val="21"/>
        </w:rPr>
      </w:pPr>
      <w:r>
        <w:rPr>
          <w:rFonts w:ascii="Cambria Math" w:eastAsia="Cambria Math" w:hAnsi="Cambria Math" w:cs="Cambria Math"/>
          <w:sz w:val="21"/>
          <w:szCs w:val="21"/>
        </w:rPr>
        <w:t>④</w:t>
      </w:r>
      <w:r>
        <w:rPr>
          <w:rFonts w:ascii="SimSun" w:eastAsia="SimSun" w:hAnsi="SimSun" w:cs="SimSun"/>
          <w:sz w:val="21"/>
          <w:szCs w:val="21"/>
        </w:rPr>
        <w:t>：材料强调资本主义生产关系建立的条件，没有体现资本主义的发展使新兴资产阶级显示出很大的优势，</w:t>
      </w:r>
      <w:r>
        <w:rPr>
          <w:rFonts w:ascii="Cambria Math" w:eastAsia="Cambria Math" w:hAnsi="Cambria Math" w:cs="Cambria Math"/>
          <w:sz w:val="21"/>
          <w:szCs w:val="21"/>
        </w:rPr>
        <w:t>④</w:t>
      </w:r>
      <w:r>
        <w:rPr>
          <w:rFonts w:ascii="SimSun" w:eastAsia="SimSun" w:hAnsi="SimSun" w:cs="SimSun"/>
          <w:sz w:val="21"/>
          <w:szCs w:val="21"/>
        </w:rPr>
        <w:t>与题意不符。</w:t>
      </w:r>
    </w:p>
    <w:p>
      <w:pPr>
        <w:widowControl w:val="0"/>
        <w:spacing w:before="0" w:after="0" w:line="360" w:lineRule="auto"/>
        <w:rPr>
          <w:sz w:val="21"/>
          <w:szCs w:val="21"/>
        </w:rPr>
      </w:pPr>
      <w:r>
        <w:rPr>
          <w:rFonts w:ascii="SimSun" w:eastAsia="SimSun" w:hAnsi="SimSun" w:cs="SimSun"/>
          <w:sz w:val="21"/>
          <w:szCs w:val="21"/>
        </w:rPr>
        <w:t>故本题选</w:t>
      </w:r>
      <w:r>
        <w:rPr>
          <w:sz w:val="21"/>
          <w:szCs w:val="21"/>
        </w:rPr>
        <w:t>C</w:t>
      </w:r>
      <w:r>
        <w:rPr>
          <w:rFonts w:ascii="SimSun" w:eastAsia="SimSun" w:hAnsi="SimSun" w:cs="SimSun"/>
          <w:sz w:val="21"/>
          <w:szCs w:val="21"/>
        </w:rPr>
        <w:t>。</w:t>
      </w:r>
    </w:p>
    <w:p>
      <w:pPr>
        <w:widowControl w:val="0"/>
        <w:spacing w:before="0" w:after="0" w:line="360" w:lineRule="auto"/>
        <w:rPr>
          <w:sz w:val="21"/>
          <w:szCs w:val="21"/>
        </w:rPr>
      </w:pPr>
      <w:r>
        <w:rPr>
          <w:sz w:val="21"/>
          <w:szCs w:val="21"/>
        </w:rPr>
        <w:t xml:space="preserve">2. </w:t>
      </w:r>
      <w:r>
        <w:rPr>
          <w:rFonts w:ascii="SimSun" w:eastAsia="SimSun" w:hAnsi="SimSun" w:cs="SimSun"/>
          <w:sz w:val="21"/>
          <w:szCs w:val="21"/>
        </w:rPr>
        <w:t>鸦片战争、中日甲午战争、八国联军侵华战争……《南京条约》、《马关条约》、《辛丑条约》……把中华民族推入前所未有的黑暗境地。中国共产党犹如一道光，刺穿了近代中国的沉沉暗夜，照亮了民族复兴的</w:t>
      </w:r>
      <w:r>
        <w:rPr>
          <w:strike w:val="0"/>
          <w:sz w:val="21"/>
          <w:szCs w:val="21"/>
          <w:u w:val="none"/>
        </w:rPr>
        <w:drawing>
          <wp:inline>
            <wp:extent cx="28575" cy="28575"/>
            <wp:docPr id="100011" name=""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rPr>
          <w:sz w:val="21"/>
          <w:szCs w:val="21"/>
        </w:rPr>
      </w:pPr>
      <w:r>
        <w:rPr>
          <w:rFonts w:ascii="SimSun" w:eastAsia="SimSun" w:hAnsi="SimSun" w:cs="SimSun"/>
          <w:sz w:val="21"/>
          <w:szCs w:val="21"/>
        </w:rPr>
        <w:t>伟大航程。材料主要表明（</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①半殖民地半封建社会是近代中国的基本国情</w:t>
      </w:r>
    </w:p>
    <w:p>
      <w:pPr>
        <w:widowControl w:val="0"/>
        <w:spacing w:before="0" w:after="0" w:line="360" w:lineRule="auto"/>
        <w:rPr>
          <w:sz w:val="21"/>
          <w:szCs w:val="21"/>
        </w:rPr>
      </w:pPr>
      <w:r>
        <w:rPr>
          <w:rFonts w:ascii="SimSun" w:eastAsia="SimSun" w:hAnsi="SimSun" w:cs="SimSun"/>
          <w:sz w:val="21"/>
          <w:szCs w:val="21"/>
        </w:rPr>
        <w:t>②中国共产党带来解决中国问题的出路和希望</w:t>
      </w:r>
    </w:p>
    <w:p>
      <w:pPr>
        <w:widowControl w:val="0"/>
        <w:spacing w:before="0" w:after="0" w:line="360" w:lineRule="auto"/>
        <w:rPr>
          <w:sz w:val="21"/>
          <w:szCs w:val="21"/>
        </w:rPr>
      </w:pPr>
      <w:r>
        <w:rPr>
          <w:rFonts w:ascii="SimSun" w:eastAsia="SimSun" w:hAnsi="SimSun" w:cs="SimSun"/>
          <w:sz w:val="21"/>
          <w:szCs w:val="21"/>
        </w:rPr>
        <w:t>③新中国成立从根本上改变了中国社会的发展方向</w:t>
      </w:r>
    </w:p>
    <w:p>
      <w:pPr>
        <w:widowControl w:val="0"/>
        <w:spacing w:before="0" w:after="0" w:line="360" w:lineRule="auto"/>
        <w:rPr>
          <w:sz w:val="21"/>
          <w:szCs w:val="21"/>
        </w:rPr>
      </w:pPr>
      <w:r>
        <w:rPr>
          <w:rFonts w:ascii="SimSun" w:eastAsia="SimSun" w:hAnsi="SimSun" w:cs="SimSun"/>
          <w:sz w:val="21"/>
          <w:szCs w:val="21"/>
        </w:rPr>
        <w:t>④中国共产党应运而生改变了中华民族的前途命运</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C</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w:t>
      </w:r>
      <w:r>
        <w:rPr>
          <w:rFonts w:ascii="Cambria Math" w:eastAsia="Cambria Math" w:hAnsi="Cambria Math" w:cs="Cambria Math"/>
          <w:sz w:val="21"/>
          <w:szCs w:val="21"/>
        </w:rPr>
        <w:t>①</w:t>
      </w:r>
      <w:r>
        <w:rPr>
          <w:rFonts w:ascii="SimSun" w:eastAsia="SimSun" w:hAnsi="SimSun" w:cs="SimSun"/>
          <w:sz w:val="21"/>
          <w:szCs w:val="21"/>
        </w:rPr>
        <w:t>：</w:t>
      </w:r>
      <w:r>
        <w:rPr>
          <w:sz w:val="21"/>
          <w:szCs w:val="21"/>
        </w:rPr>
        <w:t>‌</w:t>
      </w:r>
      <w:r>
        <w:rPr>
          <w:rFonts w:ascii="SimSun" w:eastAsia="SimSun" w:hAnsi="SimSun" w:cs="SimSun"/>
          <w:sz w:val="21"/>
          <w:szCs w:val="21"/>
        </w:rPr>
        <w:t>近代中国的基本国情是半殖民地半封建社会，但这不是材料强调的，材料主要强调党的产生与作用，</w:t>
      </w:r>
      <w:r>
        <w:rPr>
          <w:rFonts w:ascii="Cambria Math" w:eastAsia="Cambria Math" w:hAnsi="Cambria Math" w:cs="Cambria Math"/>
          <w:sz w:val="21"/>
          <w:szCs w:val="21"/>
        </w:rPr>
        <w:t>①</w:t>
      </w:r>
      <w:r>
        <w:rPr>
          <w:rFonts w:ascii="SimSun" w:eastAsia="SimSun" w:hAnsi="SimSun" w:cs="SimSun"/>
          <w:sz w:val="21"/>
          <w:szCs w:val="21"/>
        </w:rPr>
        <w:t>不选。</w:t>
      </w:r>
    </w:p>
    <w:p>
      <w:pPr>
        <w:widowControl w:val="0"/>
        <w:spacing w:before="0" w:after="0" w:line="360" w:lineRule="auto"/>
        <w:rPr>
          <w:sz w:val="21"/>
          <w:szCs w:val="21"/>
        </w:rPr>
      </w:pPr>
      <w:r>
        <w:rPr>
          <w:rFonts w:ascii="Cambria Math" w:eastAsia="Cambria Math" w:hAnsi="Cambria Math" w:cs="Cambria Math"/>
          <w:sz w:val="21"/>
          <w:szCs w:val="21"/>
        </w:rPr>
        <w:t>②④</w:t>
      </w:r>
      <w:r>
        <w:rPr>
          <w:rFonts w:ascii="SimSun" w:eastAsia="SimSun" w:hAnsi="SimSun" w:cs="SimSun"/>
          <w:sz w:val="21"/>
          <w:szCs w:val="21"/>
        </w:rPr>
        <w:t>：把中华民族推入前所未有的黑暗境地。中国共产党犹如一道光，刺穿了近代中国的沉沉暗夜，照亮了民族复兴的伟大航程，这表明中国共产党应运而生改变了中华民族的前途命运，带来解决中国问题的出路和希望，</w:t>
      </w:r>
      <w:r>
        <w:rPr>
          <w:rFonts w:ascii="Cambria Math" w:eastAsia="Cambria Math" w:hAnsi="Cambria Math" w:cs="Cambria Math"/>
          <w:sz w:val="21"/>
          <w:szCs w:val="21"/>
        </w:rPr>
        <w:t>②④</w:t>
      </w:r>
      <w:r>
        <w:rPr>
          <w:rFonts w:ascii="SimSun" w:eastAsia="SimSun" w:hAnsi="SimSun" w:cs="SimSun"/>
          <w:sz w:val="21"/>
          <w:szCs w:val="21"/>
        </w:rPr>
        <w:t>入选。</w:t>
      </w:r>
    </w:p>
    <w:p>
      <w:pPr>
        <w:widowControl w:val="0"/>
        <w:spacing w:before="0" w:after="0" w:line="360" w:lineRule="auto"/>
        <w:rPr>
          <w:sz w:val="21"/>
          <w:szCs w:val="21"/>
        </w:rPr>
      </w:pPr>
      <w:r>
        <w:rPr>
          <w:rFonts w:ascii="Cambria Math" w:eastAsia="Cambria Math" w:hAnsi="Cambria Math" w:cs="Cambria Math"/>
          <w:sz w:val="21"/>
          <w:szCs w:val="21"/>
        </w:rPr>
        <w:t>③</w:t>
      </w:r>
      <w:r>
        <w:rPr>
          <w:rFonts w:ascii="SimSun" w:eastAsia="SimSun" w:hAnsi="SimSun" w:cs="SimSun"/>
          <w:sz w:val="21"/>
          <w:szCs w:val="21"/>
        </w:rPr>
        <w:t>：材料体现的是中国共产党成立的意义，不涉及新中国成立的意义，</w:t>
      </w:r>
      <w:r>
        <w:rPr>
          <w:rFonts w:ascii="Cambria Math" w:eastAsia="Cambria Math" w:hAnsi="Cambria Math" w:cs="Cambria Math"/>
          <w:sz w:val="21"/>
          <w:szCs w:val="21"/>
        </w:rPr>
        <w:t>③</w:t>
      </w:r>
      <w:r>
        <w:rPr>
          <w:rFonts w:ascii="SimSun" w:eastAsia="SimSun" w:hAnsi="SimSun" w:cs="SimSun"/>
          <w:sz w:val="21"/>
          <w:szCs w:val="21"/>
        </w:rPr>
        <w:t>不选。</w:t>
      </w:r>
    </w:p>
    <w:p>
      <w:pPr>
        <w:widowControl w:val="0"/>
        <w:spacing w:before="0" w:after="0" w:line="360" w:lineRule="auto"/>
        <w:rPr>
          <w:sz w:val="21"/>
          <w:szCs w:val="21"/>
        </w:rPr>
      </w:pPr>
      <w:r>
        <w:rPr>
          <w:rFonts w:ascii="SimSun" w:eastAsia="SimSun" w:hAnsi="SimSun" w:cs="SimSun"/>
          <w:sz w:val="21"/>
          <w:szCs w:val="21"/>
        </w:rPr>
        <w:t>故本题选</w:t>
      </w:r>
      <w:r>
        <w:rPr>
          <w:sz w:val="21"/>
          <w:szCs w:val="21"/>
        </w:rPr>
        <w:t>C</w:t>
      </w:r>
      <w:r>
        <w:rPr>
          <w:rFonts w:ascii="SimSun" w:eastAsia="SimSun" w:hAnsi="SimSun" w:cs="SimSun"/>
          <w:sz w:val="21"/>
          <w:szCs w:val="21"/>
        </w:rPr>
        <w:t>。</w:t>
      </w:r>
    </w:p>
    <w:p>
      <w:pPr>
        <w:widowControl w:val="0"/>
        <w:spacing w:before="0" w:after="0" w:line="360" w:lineRule="auto"/>
        <w:rPr>
          <w:sz w:val="21"/>
          <w:szCs w:val="21"/>
        </w:rPr>
      </w:pPr>
      <w:r>
        <w:rPr>
          <w:sz w:val="21"/>
          <w:szCs w:val="21"/>
        </w:rPr>
        <w:t xml:space="preserve">3. </w:t>
      </w:r>
      <w:r>
        <w:rPr>
          <w:rFonts w:ascii="SimSun" w:eastAsia="SimSun" w:hAnsi="SimSun" w:cs="SimSun"/>
          <w:sz w:val="21"/>
          <w:szCs w:val="21"/>
        </w:rPr>
        <w:t>在区域协调发展战略深入实施大背景下，新时代中国青年的发展渠道日益畅通。中国青年逐渐由单向的“孔雀东南飞”转变为多向的“自由随心飞”，能够在自己喜欢的城市寻找发展机会，在适合自己的地区拓展成长舞台。新时代中国青年实现发展跃迁要（</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①把人生理想融入国家发展战略</w:t>
      </w:r>
      <w:r>
        <w:rPr>
          <w:rFonts w:ascii="SimSun" w:eastAsia="SimSun" w:hAnsi="SimSun" w:cs="SimSun"/>
          <w:sz w:val="21"/>
          <w:szCs w:val="21"/>
        </w:rPr>
        <w:t xml:space="preserve">    </w:t>
      </w:r>
    </w:p>
    <w:p>
      <w:pPr>
        <w:widowControl w:val="0"/>
        <w:spacing w:before="0" w:after="0" w:line="360" w:lineRule="auto"/>
        <w:rPr>
          <w:sz w:val="21"/>
          <w:szCs w:val="21"/>
        </w:rPr>
      </w:pPr>
      <w:r>
        <w:rPr>
          <w:rFonts w:ascii="SimSun" w:eastAsia="SimSun" w:hAnsi="SimSun" w:cs="SimSun"/>
          <w:sz w:val="21"/>
          <w:szCs w:val="21"/>
        </w:rPr>
        <w:t>②立足于城市实现自己人生价值</w:t>
      </w:r>
    </w:p>
    <w:p>
      <w:pPr>
        <w:widowControl w:val="0"/>
        <w:spacing w:before="0" w:after="0" w:line="360" w:lineRule="auto"/>
        <w:rPr>
          <w:sz w:val="21"/>
          <w:szCs w:val="21"/>
        </w:rPr>
      </w:pPr>
      <w:r>
        <w:rPr>
          <w:rFonts w:ascii="SimSun" w:eastAsia="SimSun" w:hAnsi="SimSun" w:cs="SimSun"/>
          <w:sz w:val="21"/>
          <w:szCs w:val="21"/>
        </w:rPr>
        <w:t>③让理想信念在创业奋斗中升华</w:t>
      </w:r>
      <w:r>
        <w:rPr>
          <w:rFonts w:ascii="SimSun" w:eastAsia="SimSun" w:hAnsi="SimSun" w:cs="SimSun"/>
          <w:sz w:val="21"/>
          <w:szCs w:val="21"/>
        </w:rPr>
        <w:t xml:space="preserve">    </w:t>
      </w:r>
    </w:p>
    <w:p>
      <w:pPr>
        <w:widowControl w:val="0"/>
        <w:spacing w:before="0" w:after="0" w:line="360" w:lineRule="auto"/>
        <w:rPr>
          <w:sz w:val="21"/>
          <w:szCs w:val="21"/>
        </w:rPr>
      </w:pPr>
      <w:r>
        <w:rPr>
          <w:rFonts w:ascii="SimSun" w:eastAsia="SimSun" w:hAnsi="SimSun" w:cs="SimSun"/>
          <w:sz w:val="21"/>
          <w:szCs w:val="21"/>
        </w:rPr>
        <w:t>④以实现各族人民的福祉为己任</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B</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【详解】①：“在区域协调发展战略深入实施大背景下，新时代中国青年的发展渠道日益畅通”，说明新时代中国青年实现发展跃迁要把人生理想融入国家发展战略，①符合题意。</w:t>
      </w:r>
    </w:p>
    <w:p>
      <w:pPr>
        <w:widowControl w:val="0"/>
        <w:spacing w:before="0" w:after="0" w:line="360" w:lineRule="auto"/>
        <w:rPr>
          <w:sz w:val="21"/>
          <w:szCs w:val="21"/>
        </w:rPr>
      </w:pPr>
      <w:r>
        <w:rPr>
          <w:rFonts w:ascii="SimSun" w:eastAsia="SimSun" w:hAnsi="SimSun" w:cs="SimSun"/>
          <w:sz w:val="21"/>
          <w:szCs w:val="21"/>
        </w:rPr>
        <w:t>②：新时代中国青年，实现自己人生价值，要立足于中国特色社会主义伟大实践，而不是立足于城市，②错误。</w:t>
      </w:r>
    </w:p>
    <w:p>
      <w:pPr>
        <w:widowControl w:val="0"/>
        <w:spacing w:before="0" w:after="0" w:line="360" w:lineRule="auto"/>
        <w:rPr>
          <w:sz w:val="21"/>
          <w:szCs w:val="21"/>
        </w:rPr>
      </w:pPr>
      <w:r>
        <w:rPr>
          <w:rFonts w:ascii="SimSun" w:eastAsia="SimSun" w:hAnsi="SimSun" w:cs="SimSun"/>
          <w:sz w:val="21"/>
          <w:szCs w:val="21"/>
        </w:rPr>
        <w:t>③：“中国青年，能够在自己喜欢的城市寻找发展机会，在适合自己的地区拓展成长舞台”，这说明新时</w:t>
      </w:r>
      <w:r>
        <w:rPr>
          <w:strike w:val="0"/>
          <w:sz w:val="21"/>
          <w:szCs w:val="21"/>
          <w:u w:val="none"/>
        </w:rPr>
        <w:drawing>
          <wp:inline>
            <wp:extent cx="28575" cy="28575"/>
            <wp:docPr id="100025" name=""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rPr>
          <w:sz w:val="21"/>
          <w:szCs w:val="21"/>
        </w:rPr>
      </w:pPr>
      <w:r>
        <w:rPr>
          <w:rFonts w:ascii="SimSun" w:eastAsia="SimSun" w:hAnsi="SimSun" w:cs="SimSun"/>
          <w:sz w:val="21"/>
          <w:szCs w:val="21"/>
        </w:rPr>
        <w:t>代中国青年实现发展跃迁要让理想信念在创业奋斗中升华，③正确。</w:t>
      </w:r>
    </w:p>
    <w:p>
      <w:pPr>
        <w:widowControl w:val="0"/>
        <w:spacing w:before="0" w:after="0" w:line="360" w:lineRule="auto"/>
        <w:rPr>
          <w:sz w:val="21"/>
          <w:szCs w:val="21"/>
        </w:rPr>
      </w:pPr>
      <w:r>
        <w:rPr>
          <w:rFonts w:ascii="Cambria Math" w:eastAsia="Cambria Math" w:hAnsi="Cambria Math" w:cs="Cambria Math"/>
          <w:sz w:val="21"/>
          <w:szCs w:val="21"/>
        </w:rPr>
        <w:t>④</w:t>
      </w:r>
      <w:r>
        <w:rPr>
          <w:rFonts w:ascii="SimSun" w:eastAsia="SimSun" w:hAnsi="SimSun" w:cs="SimSun"/>
          <w:sz w:val="21"/>
          <w:szCs w:val="21"/>
        </w:rPr>
        <w:t>：题干没有涉及实现各民族人民福祉，</w:t>
      </w:r>
      <w:r>
        <w:rPr>
          <w:rFonts w:ascii="Cambria Math" w:eastAsia="Cambria Math" w:hAnsi="Cambria Math" w:cs="Cambria Math"/>
          <w:sz w:val="21"/>
          <w:szCs w:val="21"/>
        </w:rPr>
        <w:t>④</w:t>
      </w:r>
      <w:r>
        <w:rPr>
          <w:rFonts w:ascii="SimSun" w:eastAsia="SimSun" w:hAnsi="SimSun" w:cs="SimSun"/>
          <w:sz w:val="21"/>
          <w:szCs w:val="21"/>
        </w:rPr>
        <w:t>与题意无关。</w:t>
      </w:r>
    </w:p>
    <w:p>
      <w:pPr>
        <w:widowControl w:val="0"/>
        <w:spacing w:before="0" w:after="0" w:line="360" w:lineRule="auto"/>
        <w:rPr>
          <w:sz w:val="21"/>
          <w:szCs w:val="21"/>
        </w:rPr>
      </w:pPr>
      <w:r>
        <w:rPr>
          <w:rFonts w:ascii="SimSun" w:eastAsia="SimSun" w:hAnsi="SimSun" w:cs="SimSun"/>
          <w:sz w:val="21"/>
          <w:szCs w:val="21"/>
        </w:rPr>
        <w:t>故本题选</w:t>
      </w:r>
      <w:r>
        <w:rPr>
          <w:sz w:val="21"/>
          <w:szCs w:val="21"/>
        </w:rPr>
        <w:t>B</w:t>
      </w:r>
      <w:r>
        <w:rPr>
          <w:rFonts w:ascii="SimSun" w:eastAsia="SimSun" w:hAnsi="SimSun" w:cs="SimSun"/>
          <w:sz w:val="21"/>
          <w:szCs w:val="21"/>
        </w:rPr>
        <w:t>。</w:t>
      </w:r>
    </w:p>
    <w:p>
      <w:pPr>
        <w:widowControl w:val="0"/>
        <w:spacing w:before="0" w:after="0" w:line="360" w:lineRule="auto"/>
        <w:rPr>
          <w:sz w:val="21"/>
          <w:szCs w:val="21"/>
        </w:rPr>
      </w:pPr>
      <w:r>
        <w:rPr>
          <w:sz w:val="21"/>
          <w:szCs w:val="21"/>
        </w:rPr>
        <w:t xml:space="preserve">4. </w:t>
      </w:r>
      <w:r>
        <w:rPr>
          <w:rFonts w:ascii="SimSun" w:eastAsia="SimSun" w:hAnsi="SimSun" w:cs="SimSun"/>
          <w:sz w:val="21"/>
          <w:szCs w:val="21"/>
        </w:rPr>
        <w:t>国家发展改革委员会建立政府和社会资本合作的新机制，向社会公开推介重大项目、鼓励各类资本参与。截至2024年2月29日，吸引民间资本参与的项目共计1612个，总投资规模2万多亿元。此举是为了（</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①调动不同经济主体的积极性和创造性</w:t>
      </w:r>
    </w:p>
    <w:p>
      <w:pPr>
        <w:widowControl w:val="0"/>
        <w:spacing w:before="0" w:after="0" w:line="360" w:lineRule="auto"/>
        <w:rPr>
          <w:sz w:val="21"/>
          <w:szCs w:val="21"/>
        </w:rPr>
      </w:pPr>
      <w:r>
        <w:rPr>
          <w:rFonts w:ascii="SimSun" w:eastAsia="SimSun" w:hAnsi="SimSun" w:cs="SimSun"/>
          <w:sz w:val="21"/>
          <w:szCs w:val="21"/>
        </w:rPr>
        <w:t>②运用新机制不断提升重大项目建设运营的水平</w:t>
      </w:r>
    </w:p>
    <w:p>
      <w:pPr>
        <w:widowControl w:val="0"/>
        <w:spacing w:before="0" w:after="0" w:line="360" w:lineRule="auto"/>
        <w:rPr>
          <w:sz w:val="21"/>
          <w:szCs w:val="21"/>
        </w:rPr>
      </w:pPr>
      <w:r>
        <w:rPr>
          <w:rFonts w:ascii="SimSun" w:eastAsia="SimSun" w:hAnsi="SimSun" w:cs="SimSun"/>
          <w:sz w:val="21"/>
          <w:szCs w:val="21"/>
        </w:rPr>
        <w:t>③拓宽民间投资空间并提高企业利润率</w:t>
      </w:r>
    </w:p>
    <w:p>
      <w:pPr>
        <w:widowControl w:val="0"/>
        <w:spacing w:before="0" w:after="0" w:line="360" w:lineRule="auto"/>
        <w:rPr>
          <w:sz w:val="21"/>
          <w:szCs w:val="21"/>
        </w:rPr>
      </w:pPr>
      <w:r>
        <w:rPr>
          <w:rFonts w:ascii="SimSun" w:eastAsia="SimSun" w:hAnsi="SimSun" w:cs="SimSun"/>
          <w:sz w:val="21"/>
          <w:szCs w:val="21"/>
        </w:rPr>
        <w:t>④探索公有制多种实现形式以完善现代企业制度</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A</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w:t>
      </w:r>
      <w:r>
        <w:rPr>
          <w:rFonts w:ascii="Cambria Math" w:eastAsia="Cambria Math" w:hAnsi="Cambria Math" w:cs="Cambria Math"/>
          <w:sz w:val="21"/>
          <w:szCs w:val="21"/>
        </w:rPr>
        <w:t>①②</w:t>
      </w:r>
      <w:r>
        <w:rPr>
          <w:rFonts w:ascii="SimSun" w:eastAsia="SimSun" w:hAnsi="SimSun" w:cs="SimSun"/>
          <w:sz w:val="21"/>
          <w:szCs w:val="21"/>
        </w:rPr>
        <w:t>：国家发展改革委员会建立政府和社会资本合作的新机制，向社会公开推介重大项目、鼓励各类资本参与。此举是为了运用新机制不断提升重大项目建设运营的水平，调动不同经济主体的积极性和创造性，</w:t>
      </w:r>
      <w:r>
        <w:rPr>
          <w:rFonts w:ascii="Cambria Math" w:eastAsia="Cambria Math" w:hAnsi="Cambria Math" w:cs="Cambria Math"/>
          <w:sz w:val="21"/>
          <w:szCs w:val="21"/>
        </w:rPr>
        <w:t>①②</w:t>
      </w:r>
      <w:r>
        <w:rPr>
          <w:rFonts w:ascii="SimSun" w:eastAsia="SimSun" w:hAnsi="SimSun" w:cs="SimSun"/>
          <w:sz w:val="21"/>
          <w:szCs w:val="21"/>
        </w:rPr>
        <w:t>正确。</w:t>
      </w:r>
    </w:p>
    <w:p>
      <w:pPr>
        <w:widowControl w:val="0"/>
        <w:spacing w:before="0" w:after="0" w:line="360" w:lineRule="auto"/>
        <w:rPr>
          <w:sz w:val="21"/>
          <w:szCs w:val="21"/>
        </w:rPr>
      </w:pPr>
      <w:r>
        <w:rPr>
          <w:rFonts w:ascii="SimSun" w:eastAsia="SimSun" w:hAnsi="SimSun" w:cs="SimSun"/>
          <w:sz w:val="21"/>
          <w:szCs w:val="21"/>
        </w:rPr>
        <w:t>③：题干举措有利于拓宽民间投资空间，但未必能提高企业利润率，并且这也不是该举措的目的，③错误。</w:t>
      </w:r>
    </w:p>
    <w:p>
      <w:pPr>
        <w:widowControl w:val="0"/>
        <w:spacing w:before="0" w:after="0" w:line="360" w:lineRule="auto"/>
        <w:rPr>
          <w:sz w:val="21"/>
          <w:szCs w:val="21"/>
        </w:rPr>
      </w:pPr>
      <w:r>
        <w:rPr>
          <w:rFonts w:ascii="SimSun" w:eastAsia="SimSun" w:hAnsi="SimSun" w:cs="SimSun"/>
          <w:sz w:val="21"/>
          <w:szCs w:val="21"/>
        </w:rPr>
        <w:t>④：材料举措是为了调动不同经济主体的积极性和创造性，不是为了探索公有制多种实现形式，也不是为了完善现代企业制度，④错误。</w:t>
      </w:r>
    </w:p>
    <w:p>
      <w:pPr>
        <w:widowControl w:val="0"/>
        <w:spacing w:before="0" w:after="0" w:line="360" w:lineRule="auto"/>
        <w:rPr>
          <w:sz w:val="21"/>
          <w:szCs w:val="21"/>
        </w:rPr>
      </w:pPr>
      <w:r>
        <w:rPr>
          <w:rFonts w:ascii="SimSun" w:eastAsia="SimSun" w:hAnsi="SimSun" w:cs="SimSun"/>
          <w:sz w:val="21"/>
          <w:szCs w:val="21"/>
        </w:rPr>
        <w:t>故本题选</w:t>
      </w:r>
      <w:r>
        <w:rPr>
          <w:sz w:val="21"/>
          <w:szCs w:val="21"/>
        </w:rPr>
        <w:t>A</w:t>
      </w:r>
      <w:r>
        <w:rPr>
          <w:rFonts w:ascii="SimSun" w:eastAsia="SimSun" w:hAnsi="SimSun" w:cs="SimSun"/>
          <w:sz w:val="21"/>
          <w:szCs w:val="21"/>
        </w:rPr>
        <w:t>。</w:t>
      </w:r>
    </w:p>
    <w:p>
      <w:pPr>
        <w:widowControl w:val="0"/>
        <w:spacing w:before="0" w:after="0" w:line="360" w:lineRule="auto"/>
        <w:rPr>
          <w:sz w:val="21"/>
          <w:szCs w:val="21"/>
        </w:rPr>
      </w:pPr>
      <w:r>
        <w:rPr>
          <w:sz w:val="21"/>
          <w:szCs w:val="21"/>
        </w:rPr>
        <w:t xml:space="preserve">5. </w:t>
      </w:r>
      <w:r>
        <w:rPr>
          <w:rFonts w:ascii="SimSun" w:eastAsia="SimSun" w:hAnsi="SimSun" w:cs="SimSun"/>
          <w:sz w:val="21"/>
          <w:szCs w:val="21"/>
        </w:rPr>
        <w:t>社会保障是治国安邦的大问题，在维护社会公平、增进民生福祉、促进经济社会发展方面发挥着重要作用。党的二十届三中全会通过的《中共中央关于进一步全面深化改革、推进中国式现代化的决定》对健全社会保障体系作出了重要部署。对此，下列认识正确的是（</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①完善的社会保障体系是我国经济和社会发展的基础</w:t>
      </w:r>
    </w:p>
    <w:p>
      <w:pPr>
        <w:widowControl w:val="0"/>
        <w:spacing w:before="0" w:after="0" w:line="360" w:lineRule="auto"/>
        <w:rPr>
          <w:sz w:val="21"/>
          <w:szCs w:val="21"/>
        </w:rPr>
      </w:pPr>
      <w:r>
        <w:rPr>
          <w:rFonts w:ascii="SimSun" w:eastAsia="SimSun" w:hAnsi="SimSun" w:cs="SimSun"/>
          <w:sz w:val="21"/>
          <w:szCs w:val="21"/>
        </w:rPr>
        <w:t>②健全社会保障体系是推进中国式现代化的重要内容</w:t>
      </w:r>
    </w:p>
    <w:p>
      <w:pPr>
        <w:widowControl w:val="0"/>
        <w:spacing w:before="0" w:after="0" w:line="360" w:lineRule="auto"/>
        <w:rPr>
          <w:sz w:val="21"/>
          <w:szCs w:val="21"/>
        </w:rPr>
      </w:pPr>
      <w:r>
        <w:rPr>
          <w:rFonts w:ascii="SimSun" w:eastAsia="SimSun" w:hAnsi="SimSun" w:cs="SimSun"/>
          <w:sz w:val="21"/>
          <w:szCs w:val="21"/>
        </w:rPr>
        <w:t>③社会保障是实现人民当家作主的根本政治制度安排</w:t>
      </w:r>
    </w:p>
    <w:p>
      <w:pPr>
        <w:widowControl w:val="0"/>
        <w:spacing w:before="0" w:after="0" w:line="360" w:lineRule="auto"/>
        <w:rPr>
          <w:sz w:val="21"/>
          <w:szCs w:val="21"/>
        </w:rPr>
      </w:pPr>
      <w:r>
        <w:rPr>
          <w:rFonts w:ascii="SimSun" w:eastAsia="SimSun" w:hAnsi="SimSun" w:cs="SimSun"/>
          <w:sz w:val="21"/>
          <w:szCs w:val="21"/>
        </w:rPr>
        <w:t>④有利于让现代化建设成果更多更公平惠及全体人民</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C</w:t>
      </w:r>
      <w:r>
        <w:rPr>
          <w:strike w:val="0"/>
          <w:sz w:val="21"/>
          <w:szCs w:val="21"/>
          <w:u w:val="none"/>
        </w:rPr>
        <w:drawing>
          <wp:inline>
            <wp:extent cx="28575" cy="28575"/>
            <wp:docPr id="100039" name=""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【详解】①：经济发展是社会保障的基础，①排除。</w:t>
      </w:r>
    </w:p>
    <w:p>
      <w:pPr>
        <w:widowControl w:val="0"/>
        <w:spacing w:before="0" w:after="0" w:line="360" w:lineRule="auto"/>
        <w:rPr>
          <w:sz w:val="21"/>
          <w:szCs w:val="21"/>
        </w:rPr>
      </w:pPr>
      <w:r>
        <w:rPr>
          <w:rFonts w:ascii="SimSun" w:eastAsia="SimSun" w:hAnsi="SimSun" w:cs="SimSun"/>
          <w:sz w:val="21"/>
          <w:szCs w:val="21"/>
        </w:rPr>
        <w:t>②：党的二十届三中全会通过的《中共中央关于进一步全面深化改革、推进中国式现代化的决定》对健全社会保障体系作出了重要部署，说明健全社会保障体系是推进中国式现代化的重要内容，②正确。</w:t>
      </w:r>
    </w:p>
    <w:p>
      <w:pPr>
        <w:widowControl w:val="0"/>
        <w:spacing w:before="0" w:after="0" w:line="360" w:lineRule="auto"/>
        <w:rPr>
          <w:sz w:val="21"/>
          <w:szCs w:val="21"/>
        </w:rPr>
      </w:pPr>
      <w:r>
        <w:rPr>
          <w:rFonts w:ascii="SimSun" w:eastAsia="SimSun" w:hAnsi="SimSun" w:cs="SimSun"/>
          <w:sz w:val="21"/>
          <w:szCs w:val="21"/>
        </w:rPr>
        <w:t>③：人民代表大会制度是实现人民当家作主的根本政治制度安排，而不是社会保障，③排除。</w:t>
      </w:r>
    </w:p>
    <w:p>
      <w:pPr>
        <w:widowControl w:val="0"/>
        <w:spacing w:before="0" w:after="0" w:line="360" w:lineRule="auto"/>
        <w:rPr>
          <w:sz w:val="21"/>
          <w:szCs w:val="21"/>
        </w:rPr>
      </w:pPr>
      <w:r>
        <w:rPr>
          <w:rFonts w:ascii="SimSun" w:eastAsia="SimSun" w:hAnsi="SimSun" w:cs="SimSun"/>
          <w:sz w:val="21"/>
          <w:szCs w:val="21"/>
        </w:rPr>
        <w:t>④：社会保障是治国安邦的大问题，在维护社会公平、增进民生福祉、促进经济社会发展方面发挥着重要作用，说明社会保障有利于让现代化建设成果更多更公平惠及全体人民，④正确。</w:t>
      </w:r>
    </w:p>
    <w:p>
      <w:pPr>
        <w:widowControl w:val="0"/>
        <w:spacing w:before="0" w:after="0" w:line="360" w:lineRule="auto"/>
        <w:rPr>
          <w:sz w:val="21"/>
          <w:szCs w:val="21"/>
        </w:rPr>
      </w:pPr>
      <w:r>
        <w:rPr>
          <w:rFonts w:ascii="SimSun" w:eastAsia="SimSun" w:hAnsi="SimSun" w:cs="SimSun"/>
          <w:sz w:val="21"/>
          <w:szCs w:val="21"/>
        </w:rPr>
        <w:t>故本题选C。</w:t>
      </w:r>
    </w:p>
    <w:p>
      <w:pPr>
        <w:widowControl w:val="0"/>
        <w:spacing w:before="0" w:after="0" w:line="360" w:lineRule="auto"/>
        <w:rPr>
          <w:sz w:val="21"/>
          <w:szCs w:val="21"/>
        </w:rPr>
      </w:pPr>
      <w:r>
        <w:rPr>
          <w:sz w:val="21"/>
          <w:szCs w:val="21"/>
        </w:rPr>
        <w:t xml:space="preserve">6. </w:t>
      </w:r>
      <w:r>
        <w:rPr>
          <w:rFonts w:ascii="SimSun" w:eastAsia="SimSun" w:hAnsi="SimSun" w:cs="SimSun"/>
          <w:sz w:val="21"/>
          <w:szCs w:val="21"/>
        </w:rPr>
        <w:t>湖南新田县某村党支部书记有一件工作“利器”——党群议事亭，“新修路资金从哪儿来”“山上果园灌溉怎么解决”等工作难题没思路的时候，和村民坐下来聊一聊，话匣子打开，金点子迸出来。问需于民、问计于民（</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①发挥了共产党员的先锋模范作用</w:t>
      </w:r>
      <w:r>
        <w:rPr>
          <w:rFonts w:ascii="SimSun" w:eastAsia="SimSun" w:hAnsi="SimSun" w:cs="SimSun"/>
          <w:sz w:val="21"/>
          <w:szCs w:val="21"/>
        </w:rPr>
        <w:t xml:space="preserve">    </w:t>
      </w:r>
    </w:p>
    <w:p>
      <w:pPr>
        <w:widowControl w:val="0"/>
        <w:spacing w:before="0" w:after="0" w:line="360" w:lineRule="auto"/>
        <w:rPr>
          <w:sz w:val="21"/>
          <w:szCs w:val="21"/>
        </w:rPr>
      </w:pPr>
      <w:r>
        <w:rPr>
          <w:rFonts w:ascii="SimSun" w:eastAsia="SimSun" w:hAnsi="SimSun" w:cs="SimSun"/>
          <w:sz w:val="21"/>
          <w:szCs w:val="21"/>
        </w:rPr>
        <w:t>②彰显党以人民为中心</w:t>
      </w:r>
      <w:r>
        <w:rPr>
          <w:strike w:val="0"/>
          <w:sz w:val="21"/>
          <w:szCs w:val="21"/>
          <w:u w:val="none"/>
        </w:rPr>
        <w:drawing>
          <wp:inline>
            <wp:extent cx="133350" cy="180975"/>
            <wp:docPr id="10005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
                    <pic:cNvPicPr>
                      <a:picLocks noChangeAspect="1"/>
                    </pic:cNvPicPr>
                  </pic:nvPicPr>
                  <pic:blipFill>
                    <a:blip xmlns:r="http://schemas.openxmlformats.org/officeDocument/2006/relationships" r:embed="rId9"/>
                    <a:stretch>
                      <a:fillRect/>
                    </a:stretch>
                  </pic:blipFill>
                  <pic:spPr>
                    <a:xfrm>
                      <a:off x="0" y="0"/>
                      <a:ext cx="133350" cy="180975"/>
                    </a:xfrm>
                    <a:prstGeom prst="rect">
                      <a:avLst/>
                    </a:prstGeom>
                  </pic:spPr>
                </pic:pic>
              </a:graphicData>
            </a:graphic>
          </wp:inline>
        </w:drawing>
      </w:r>
      <w:r>
        <w:rPr>
          <w:rFonts w:ascii="SimSun" w:eastAsia="SimSun" w:hAnsi="SimSun" w:cs="SimSun"/>
          <w:sz w:val="21"/>
          <w:szCs w:val="21"/>
        </w:rPr>
        <w:t>价值取向</w:t>
      </w:r>
    </w:p>
    <w:p>
      <w:pPr>
        <w:widowControl w:val="0"/>
        <w:spacing w:before="0" w:after="0" w:line="360" w:lineRule="auto"/>
        <w:rPr>
          <w:sz w:val="21"/>
          <w:szCs w:val="21"/>
        </w:rPr>
      </w:pPr>
      <w:r>
        <w:rPr>
          <w:rFonts w:ascii="SimSun" w:eastAsia="SimSun" w:hAnsi="SimSun" w:cs="SimSun"/>
          <w:sz w:val="21"/>
          <w:szCs w:val="21"/>
        </w:rPr>
        <w:t>③体现着党的领导方法和工作方法</w:t>
      </w:r>
      <w:r>
        <w:rPr>
          <w:rFonts w:ascii="SimSun" w:eastAsia="SimSun" w:hAnsi="SimSun" w:cs="SimSun"/>
          <w:sz w:val="21"/>
          <w:szCs w:val="21"/>
        </w:rPr>
        <w:t xml:space="preserve">    </w:t>
      </w:r>
    </w:p>
    <w:p>
      <w:pPr>
        <w:widowControl w:val="0"/>
        <w:spacing w:before="0" w:after="0" w:line="360" w:lineRule="auto"/>
        <w:rPr>
          <w:sz w:val="21"/>
          <w:szCs w:val="21"/>
        </w:rPr>
      </w:pPr>
      <w:r>
        <w:rPr>
          <w:rFonts w:ascii="SimSun" w:eastAsia="SimSun" w:hAnsi="SimSun" w:cs="SimSun"/>
          <w:sz w:val="21"/>
          <w:szCs w:val="21"/>
        </w:rPr>
        <w:t>④确保党永葆旺盛生命力与战斗力</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C</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【详解】①：湖南新田县某村党支部通过党群议事亭“问需于民、问计于民”，体现党坚持以人民为中心，没有体现发挥共产党员的先锋模范作用，①排除。</w:t>
      </w:r>
    </w:p>
    <w:p>
      <w:pPr>
        <w:widowControl w:val="0"/>
        <w:spacing w:before="0" w:after="0" w:line="360" w:lineRule="auto"/>
        <w:rPr>
          <w:sz w:val="21"/>
          <w:szCs w:val="21"/>
        </w:rPr>
      </w:pPr>
      <w:r>
        <w:rPr>
          <w:rFonts w:ascii="SimSun" w:eastAsia="SimSun" w:hAnsi="SimSun" w:cs="SimSun"/>
          <w:sz w:val="21"/>
          <w:szCs w:val="21"/>
        </w:rPr>
        <w:t>②：“工作难题没思路的时候，和村民坐下来聊一聊，话匣子打开，金点子迸出来”彰显党以人民为中心的价值取向，②正确。</w:t>
      </w:r>
    </w:p>
    <w:p>
      <w:pPr>
        <w:widowControl w:val="0"/>
        <w:spacing w:before="0" w:after="0" w:line="360" w:lineRule="auto"/>
        <w:rPr>
          <w:sz w:val="21"/>
          <w:szCs w:val="21"/>
        </w:rPr>
      </w:pPr>
      <w:r>
        <w:rPr>
          <w:rFonts w:ascii="SimSun" w:eastAsia="SimSun" w:hAnsi="SimSun" w:cs="SimSun"/>
          <w:sz w:val="21"/>
          <w:szCs w:val="21"/>
        </w:rPr>
        <w:t>③：群众路线是无产阶级政党的根本的领导方法和工作方法，“问需于民、问计于民”体现党的领导方法和工作方法，③正确。</w:t>
      </w:r>
    </w:p>
    <w:p>
      <w:pPr>
        <w:widowControl w:val="0"/>
        <w:spacing w:before="0" w:after="0" w:line="360" w:lineRule="auto"/>
        <w:rPr>
          <w:sz w:val="21"/>
          <w:szCs w:val="21"/>
        </w:rPr>
      </w:pPr>
      <w:r>
        <w:rPr>
          <w:rFonts w:ascii="SimSun" w:eastAsia="SimSun" w:hAnsi="SimSun" w:cs="SimSun"/>
          <w:sz w:val="21"/>
          <w:szCs w:val="21"/>
        </w:rPr>
        <w:t>④：中国共产党要不断增强政治领导力、思想引领力、群众组织力、社会号召力，以永葆旺盛生命力和强大战斗力，“问需于民、问计于民”不能确保党永葆旺盛生命力与战斗力，④排除。</w:t>
      </w:r>
    </w:p>
    <w:p>
      <w:pPr>
        <w:widowControl w:val="0"/>
        <w:spacing w:before="0" w:after="0" w:line="360" w:lineRule="auto"/>
        <w:rPr>
          <w:sz w:val="21"/>
          <w:szCs w:val="21"/>
        </w:rPr>
      </w:pPr>
      <w:r>
        <w:rPr>
          <w:rFonts w:ascii="SimSun" w:eastAsia="SimSun" w:hAnsi="SimSun" w:cs="SimSun"/>
          <w:sz w:val="21"/>
          <w:szCs w:val="21"/>
        </w:rPr>
        <w:t>故本题选C。</w:t>
      </w:r>
    </w:p>
    <w:p>
      <w:pPr>
        <w:widowControl w:val="0"/>
        <w:spacing w:before="0" w:after="0" w:line="360" w:lineRule="auto"/>
        <w:rPr>
          <w:sz w:val="21"/>
          <w:szCs w:val="21"/>
        </w:rPr>
      </w:pPr>
      <w:r>
        <w:rPr>
          <w:sz w:val="21"/>
          <w:szCs w:val="21"/>
        </w:rPr>
        <w:t xml:space="preserve">7. </w:t>
      </w:r>
      <w:r>
        <w:rPr>
          <w:rFonts w:ascii="SimSun" w:eastAsia="SimSun" w:hAnsi="SimSun" w:cs="SimSun"/>
          <w:sz w:val="21"/>
          <w:szCs w:val="21"/>
        </w:rPr>
        <w:t>2024年4月，十四届全国人大常委会第九次会议对能源法草案进行初次审议。9月，草案二审稿贯彻落实党的二十届三中全会精神，提出加快规划建设新型能源体系的要求。能源法作为能源领域具有基础性、统领性的法律，对推动能源高质量发展、保障国家能源安全具有重大意义。开展能源立法（</w:t>
      </w:r>
      <w:r>
        <w:rPr>
          <w:rFonts w:ascii="SimSun" w:eastAsia="SimSun" w:hAnsi="SimSun" w:cs="SimSun"/>
          <w:sz w:val="21"/>
          <w:szCs w:val="21"/>
        </w:rPr>
        <w:t xml:space="preserve">   </w:t>
      </w:r>
      <w:r>
        <w:rPr>
          <w:rFonts w:ascii="SimSun" w:eastAsia="SimSun" w:hAnsi="SimSun" w:cs="SimSun"/>
          <w:sz w:val="21"/>
          <w:szCs w:val="21"/>
        </w:rPr>
        <w:t>）</w:t>
      </w:r>
      <w:r>
        <w:rPr>
          <w:strike w:val="0"/>
          <w:sz w:val="21"/>
          <w:szCs w:val="21"/>
          <w:u w:val="none"/>
        </w:rPr>
        <w:drawing>
          <wp:inline>
            <wp:extent cx="28575" cy="28575"/>
            <wp:docPr id="100055" name=""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rPr>
          <w:sz w:val="21"/>
          <w:szCs w:val="21"/>
        </w:rPr>
      </w:pPr>
      <w:r>
        <w:rPr>
          <w:rFonts w:ascii="SimSun" w:eastAsia="SimSun" w:hAnsi="SimSun" w:cs="SimSun"/>
          <w:sz w:val="21"/>
          <w:szCs w:val="21"/>
        </w:rPr>
        <w:t>①旨在加强能源领域其他法律法规间的衔接</w:t>
      </w:r>
    </w:p>
    <w:p>
      <w:pPr>
        <w:widowControl w:val="0"/>
        <w:spacing w:before="0" w:after="0" w:line="360" w:lineRule="auto"/>
        <w:rPr>
          <w:sz w:val="21"/>
          <w:szCs w:val="21"/>
        </w:rPr>
      </w:pPr>
      <w:r>
        <w:rPr>
          <w:rFonts w:ascii="SimSun" w:eastAsia="SimSun" w:hAnsi="SimSun" w:cs="SimSun"/>
          <w:sz w:val="21"/>
          <w:szCs w:val="21"/>
        </w:rPr>
        <w:t>②体现了我国人民代表大会制度的核心地位</w:t>
      </w:r>
    </w:p>
    <w:p>
      <w:pPr>
        <w:widowControl w:val="0"/>
        <w:spacing w:before="0" w:after="0" w:line="360" w:lineRule="auto"/>
        <w:rPr>
          <w:sz w:val="21"/>
          <w:szCs w:val="21"/>
        </w:rPr>
      </w:pPr>
      <w:r>
        <w:rPr>
          <w:rFonts w:ascii="SimSun" w:eastAsia="SimSun" w:hAnsi="SimSun" w:cs="SimSun"/>
          <w:sz w:val="21"/>
          <w:szCs w:val="21"/>
        </w:rPr>
        <w:t>③将为我国新型能源体系建设提供法律保障</w:t>
      </w:r>
    </w:p>
    <w:p>
      <w:pPr>
        <w:widowControl w:val="0"/>
        <w:spacing w:before="0" w:after="0" w:line="360" w:lineRule="auto"/>
        <w:rPr>
          <w:sz w:val="21"/>
          <w:szCs w:val="21"/>
        </w:rPr>
      </w:pPr>
      <w:r>
        <w:rPr>
          <w:rFonts w:ascii="SimSun" w:eastAsia="SimSun" w:hAnsi="SimSun" w:cs="SimSun"/>
          <w:sz w:val="21"/>
          <w:szCs w:val="21"/>
        </w:rPr>
        <w:t>④有利于完善我国能源领域的法律制度体系</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D</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w:t>
      </w:r>
      <w:r>
        <w:rPr>
          <w:rFonts w:ascii="Cambria Math" w:eastAsia="Cambria Math" w:hAnsi="Cambria Math" w:cs="Cambria Math"/>
          <w:sz w:val="21"/>
          <w:szCs w:val="21"/>
        </w:rPr>
        <w:t>①</w:t>
      </w:r>
      <w:r>
        <w:rPr>
          <w:rFonts w:ascii="SimSun" w:eastAsia="SimSun" w:hAnsi="SimSun" w:cs="SimSun"/>
          <w:sz w:val="21"/>
          <w:szCs w:val="21"/>
        </w:rPr>
        <w:t>：开展能源立法有利于完善能源法律体系，但其目的不在于加强能源领域其他法律法规间的衔接，</w:t>
      </w:r>
      <w:r>
        <w:rPr>
          <w:rFonts w:ascii="Cambria Math" w:eastAsia="Cambria Math" w:hAnsi="Cambria Math" w:cs="Cambria Math"/>
          <w:sz w:val="21"/>
          <w:szCs w:val="21"/>
        </w:rPr>
        <w:t>①</w:t>
      </w:r>
      <w:r>
        <w:rPr>
          <w:rFonts w:ascii="SimSun" w:eastAsia="SimSun" w:hAnsi="SimSun" w:cs="SimSun"/>
          <w:sz w:val="21"/>
          <w:szCs w:val="21"/>
        </w:rPr>
        <w:t>不选。</w:t>
      </w:r>
    </w:p>
    <w:p>
      <w:pPr>
        <w:widowControl w:val="0"/>
        <w:spacing w:before="0" w:after="0" w:line="360" w:lineRule="auto"/>
        <w:rPr>
          <w:sz w:val="21"/>
          <w:szCs w:val="21"/>
        </w:rPr>
      </w:pPr>
      <w:r>
        <w:rPr>
          <w:rFonts w:ascii="Cambria Math" w:eastAsia="Cambria Math" w:hAnsi="Cambria Math" w:cs="Cambria Math"/>
          <w:sz w:val="21"/>
          <w:szCs w:val="21"/>
        </w:rPr>
        <w:t>②</w:t>
      </w:r>
      <w:r>
        <w:rPr>
          <w:rFonts w:ascii="SimSun" w:eastAsia="SimSun" w:hAnsi="SimSun" w:cs="SimSun"/>
          <w:sz w:val="21"/>
          <w:szCs w:val="21"/>
        </w:rPr>
        <w:t>：人大制度在我国政治制度体系中居于核心地位。开展能源立法，体现了人大的立法权，但并未涉及我国人民代表大会制度的核心地位，</w:t>
      </w:r>
      <w:r>
        <w:rPr>
          <w:rFonts w:ascii="Cambria Math" w:eastAsia="Cambria Math" w:hAnsi="Cambria Math" w:cs="Cambria Math"/>
          <w:sz w:val="21"/>
          <w:szCs w:val="21"/>
        </w:rPr>
        <w:t>②</w:t>
      </w:r>
      <w:r>
        <w:rPr>
          <w:rFonts w:ascii="SimSun" w:eastAsia="SimSun" w:hAnsi="SimSun" w:cs="SimSun"/>
          <w:sz w:val="21"/>
          <w:szCs w:val="21"/>
        </w:rPr>
        <w:t>不选。</w:t>
      </w:r>
    </w:p>
    <w:p>
      <w:pPr>
        <w:widowControl w:val="0"/>
        <w:spacing w:before="0" w:after="0" w:line="360" w:lineRule="auto"/>
        <w:rPr>
          <w:sz w:val="21"/>
          <w:szCs w:val="21"/>
        </w:rPr>
      </w:pPr>
      <w:r>
        <w:rPr>
          <w:rFonts w:ascii="Cambria Math" w:eastAsia="Cambria Math" w:hAnsi="Cambria Math" w:cs="Cambria Math"/>
          <w:sz w:val="21"/>
          <w:szCs w:val="21"/>
        </w:rPr>
        <w:t>③④</w:t>
      </w:r>
      <w:r>
        <w:rPr>
          <w:rFonts w:ascii="SimSun" w:eastAsia="SimSun" w:hAnsi="SimSun" w:cs="SimSun"/>
          <w:sz w:val="21"/>
          <w:szCs w:val="21"/>
        </w:rPr>
        <w:t>：能源法作为能源领域具有基础性、统领性的法律，对推动能源高质量发展、保障国家能源安全具有重大意义，这表明能源立法有利于完善我国能源领域的法律制度体系，将为我国新型能源体系建设提供法律保障，</w:t>
      </w:r>
      <w:r>
        <w:rPr>
          <w:rFonts w:ascii="Cambria Math" w:eastAsia="Cambria Math" w:hAnsi="Cambria Math" w:cs="Cambria Math"/>
          <w:sz w:val="21"/>
          <w:szCs w:val="21"/>
        </w:rPr>
        <w:t>③④</w:t>
      </w:r>
      <w:r>
        <w:rPr>
          <w:rFonts w:ascii="SimSun" w:eastAsia="SimSun" w:hAnsi="SimSun" w:cs="SimSun"/>
          <w:sz w:val="21"/>
          <w:szCs w:val="21"/>
        </w:rPr>
        <w:t>入选。</w:t>
      </w:r>
    </w:p>
    <w:p>
      <w:pPr>
        <w:widowControl w:val="0"/>
        <w:spacing w:before="0" w:after="0" w:line="360" w:lineRule="auto"/>
        <w:rPr>
          <w:sz w:val="21"/>
          <w:szCs w:val="21"/>
        </w:rPr>
      </w:pPr>
      <w:r>
        <w:rPr>
          <w:rFonts w:ascii="SimSun" w:eastAsia="SimSun" w:hAnsi="SimSun" w:cs="SimSun"/>
          <w:sz w:val="21"/>
          <w:szCs w:val="21"/>
        </w:rPr>
        <w:t>故本题选</w:t>
      </w:r>
      <w:r>
        <w:rPr>
          <w:sz w:val="21"/>
          <w:szCs w:val="21"/>
        </w:rPr>
        <w:t>D</w:t>
      </w:r>
      <w:r>
        <w:rPr>
          <w:rFonts w:ascii="SimSun" w:eastAsia="SimSun" w:hAnsi="SimSun" w:cs="SimSun"/>
          <w:sz w:val="21"/>
          <w:szCs w:val="21"/>
        </w:rPr>
        <w:t>。</w:t>
      </w:r>
    </w:p>
    <w:p>
      <w:pPr>
        <w:widowControl w:val="0"/>
        <w:spacing w:before="0" w:after="0" w:line="360" w:lineRule="auto"/>
        <w:rPr>
          <w:sz w:val="21"/>
          <w:szCs w:val="21"/>
        </w:rPr>
      </w:pPr>
      <w:r>
        <w:rPr>
          <w:sz w:val="21"/>
          <w:szCs w:val="21"/>
        </w:rPr>
        <w:t xml:space="preserve">8. </w:t>
      </w:r>
      <w:r>
        <w:rPr>
          <w:rFonts w:ascii="SimSun" w:eastAsia="SimSun" w:hAnsi="SimSun" w:cs="SimSun"/>
          <w:sz w:val="21"/>
          <w:szCs w:val="21"/>
        </w:rPr>
        <w:t>从“毛医生”的细心诊疗到专家团队的人才培养，每一双医疗之手都在为西藏的健康护航；从支教老师的倾心传授到教育专家的智慧引领，每一颗教育之心都在为西藏的明天播种希望</w:t>
      </w:r>
      <w:r>
        <w:rPr>
          <w:rFonts w:ascii="MS Mincho" w:eastAsia="MS Mincho" w:hAnsi="MS Mincho" w:cs="MS Mincho"/>
          <w:sz w:val="21"/>
          <w:szCs w:val="21"/>
        </w:rPr>
        <w:t>⋯⋯</w:t>
      </w:r>
      <w:r>
        <w:rPr>
          <w:rFonts w:ascii="SimSun" w:eastAsia="SimSun" w:hAnsi="SimSun" w:cs="SimSun"/>
          <w:sz w:val="21"/>
          <w:szCs w:val="21"/>
        </w:rPr>
        <w:t>三十载湘藏携手，书写了湘藏一家亲的美好篇章。上述举措的意义在于（</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①充分彰显了我国民族区域自治制度的优越性</w:t>
      </w:r>
    </w:p>
    <w:p>
      <w:pPr>
        <w:widowControl w:val="0"/>
        <w:spacing w:before="0" w:after="0" w:line="360" w:lineRule="auto"/>
        <w:rPr>
          <w:sz w:val="21"/>
          <w:szCs w:val="21"/>
        </w:rPr>
      </w:pPr>
      <w:r>
        <w:rPr>
          <w:rFonts w:ascii="SimSun" w:eastAsia="SimSun" w:hAnsi="SimSun" w:cs="SimSun"/>
          <w:sz w:val="21"/>
          <w:szCs w:val="21"/>
        </w:rPr>
        <w:t>②为西藏医疗教育事业蓬勃发展提供内生动力</w:t>
      </w:r>
    </w:p>
    <w:p>
      <w:pPr>
        <w:widowControl w:val="0"/>
        <w:spacing w:before="0" w:after="0" w:line="360" w:lineRule="auto"/>
        <w:rPr>
          <w:sz w:val="21"/>
          <w:szCs w:val="21"/>
        </w:rPr>
      </w:pPr>
      <w:r>
        <w:rPr>
          <w:rFonts w:ascii="SimSun" w:eastAsia="SimSun" w:hAnsi="SimSun" w:cs="SimSun"/>
          <w:sz w:val="21"/>
          <w:szCs w:val="21"/>
        </w:rPr>
        <w:t>③满足西藏群众享有优质医疗教育服务的愿望</w:t>
      </w:r>
    </w:p>
    <w:p>
      <w:pPr>
        <w:widowControl w:val="0"/>
        <w:spacing w:before="0" w:after="0" w:line="360" w:lineRule="auto"/>
        <w:rPr>
          <w:sz w:val="21"/>
          <w:szCs w:val="21"/>
        </w:rPr>
      </w:pPr>
      <w:r>
        <w:rPr>
          <w:rFonts w:ascii="SimSun" w:eastAsia="SimSun" w:hAnsi="SimSun" w:cs="SimSun"/>
          <w:sz w:val="21"/>
          <w:szCs w:val="21"/>
        </w:rPr>
        <w:t>④维护平等团结互助和谐</w:t>
      </w:r>
      <w:r>
        <w:rPr>
          <w:strike w:val="0"/>
          <w:sz w:val="21"/>
          <w:szCs w:val="21"/>
          <w:u w:val="none"/>
        </w:rPr>
        <w:drawing>
          <wp:inline>
            <wp:extent cx="133350" cy="180975"/>
            <wp:docPr id="10006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
                    <pic:cNvPicPr>
                      <a:picLocks noChangeAspect="1"/>
                    </pic:cNvPicPr>
                  </pic:nvPicPr>
                  <pic:blipFill>
                    <a:blip xmlns:r="http://schemas.openxmlformats.org/officeDocument/2006/relationships" r:embed="rId9"/>
                    <a:stretch>
                      <a:fillRect/>
                    </a:stretch>
                  </pic:blipFill>
                  <pic:spPr>
                    <a:xfrm>
                      <a:off x="0" y="0"/>
                      <a:ext cx="133350" cy="180975"/>
                    </a:xfrm>
                    <a:prstGeom prst="rect">
                      <a:avLst/>
                    </a:prstGeom>
                  </pic:spPr>
                </pic:pic>
              </a:graphicData>
            </a:graphic>
          </wp:inline>
        </w:drawing>
      </w:r>
      <w:r>
        <w:rPr>
          <w:rFonts w:ascii="SimSun" w:eastAsia="SimSun" w:hAnsi="SimSun" w:cs="SimSun"/>
          <w:sz w:val="21"/>
          <w:szCs w:val="21"/>
        </w:rPr>
        <w:t>社会主义民族关系</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D</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w:t>
      </w:r>
      <w:r>
        <w:rPr>
          <w:rFonts w:ascii="Cambria Math" w:eastAsia="Cambria Math" w:hAnsi="Cambria Math" w:cs="Cambria Math"/>
          <w:sz w:val="21"/>
          <w:szCs w:val="21"/>
        </w:rPr>
        <w:t>③④</w:t>
      </w:r>
      <w:r>
        <w:rPr>
          <w:rFonts w:ascii="SimSun" w:eastAsia="SimSun" w:hAnsi="SimSun" w:cs="SimSun"/>
          <w:sz w:val="21"/>
          <w:szCs w:val="21"/>
        </w:rPr>
        <w:t>：材料反映了湖南对西藏在医疗、教育方面的援助，三十载湘藏携手，书写了湘藏一家亲的美好篇章。可见，材料举措的意义在于满足西藏群众享有优质医疗教育服务的愿望，维护平等团结互助和谐的社会主义民族关系，</w:t>
      </w:r>
      <w:r>
        <w:rPr>
          <w:rFonts w:ascii="Cambria Math" w:eastAsia="Cambria Math" w:hAnsi="Cambria Math" w:cs="Cambria Math"/>
          <w:sz w:val="21"/>
          <w:szCs w:val="21"/>
        </w:rPr>
        <w:t>③④</w:t>
      </w:r>
      <w:r>
        <w:rPr>
          <w:rFonts w:ascii="SimSun" w:eastAsia="SimSun" w:hAnsi="SimSun" w:cs="SimSun"/>
          <w:sz w:val="21"/>
          <w:szCs w:val="21"/>
        </w:rPr>
        <w:t>正确。</w:t>
      </w:r>
    </w:p>
    <w:p>
      <w:pPr>
        <w:widowControl w:val="0"/>
        <w:spacing w:before="0" w:after="0" w:line="360" w:lineRule="auto"/>
        <w:rPr>
          <w:sz w:val="21"/>
          <w:szCs w:val="21"/>
        </w:rPr>
      </w:pPr>
      <w:r>
        <w:rPr>
          <w:rFonts w:ascii="Cambria Math" w:eastAsia="Cambria Math" w:hAnsi="Cambria Math" w:cs="Cambria Math"/>
          <w:sz w:val="21"/>
          <w:szCs w:val="21"/>
        </w:rPr>
        <w:t>①②</w:t>
      </w:r>
      <w:r>
        <w:rPr>
          <w:rFonts w:ascii="SimSun" w:eastAsia="SimSun" w:hAnsi="SimSun" w:cs="SimSun"/>
          <w:sz w:val="21"/>
          <w:szCs w:val="21"/>
        </w:rPr>
        <w:t>：材料反映的是其他地区对西藏的援助，没有涉及民族区域自治制度的优越性，并且题干措施是为西藏医疗教育事业蓬勃发展提供外部支持，而不是提供内生动力，</w:t>
      </w:r>
      <w:r>
        <w:rPr>
          <w:rFonts w:ascii="Cambria Math" w:eastAsia="Cambria Math" w:hAnsi="Cambria Math" w:cs="Cambria Math"/>
          <w:sz w:val="21"/>
          <w:szCs w:val="21"/>
        </w:rPr>
        <w:t>①②</w:t>
      </w:r>
      <w:r>
        <w:rPr>
          <w:rFonts w:ascii="SimSun" w:eastAsia="SimSun" w:hAnsi="SimSun" w:cs="SimSun"/>
          <w:sz w:val="21"/>
          <w:szCs w:val="21"/>
        </w:rPr>
        <w:t>与题意不符。</w:t>
      </w:r>
      <w:r>
        <w:rPr>
          <w:strike w:val="0"/>
          <w:sz w:val="21"/>
          <w:szCs w:val="21"/>
          <w:u w:val="none"/>
        </w:rPr>
        <w:drawing>
          <wp:inline>
            <wp:extent cx="28575" cy="28575"/>
            <wp:docPr id="100071" name=""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rPr>
          <w:sz w:val="21"/>
          <w:szCs w:val="21"/>
        </w:rPr>
      </w:pPr>
      <w:r>
        <w:rPr>
          <w:rFonts w:ascii="SimSun" w:eastAsia="SimSun" w:hAnsi="SimSun" w:cs="SimSun"/>
          <w:sz w:val="21"/>
          <w:szCs w:val="21"/>
        </w:rPr>
        <w:t>故本题选</w:t>
      </w:r>
      <w:r>
        <w:rPr>
          <w:sz w:val="21"/>
          <w:szCs w:val="21"/>
        </w:rPr>
        <w:t>D</w:t>
      </w:r>
      <w:r>
        <w:rPr>
          <w:rFonts w:ascii="SimSun" w:eastAsia="SimSun" w:hAnsi="SimSun" w:cs="SimSun"/>
          <w:sz w:val="21"/>
          <w:szCs w:val="21"/>
        </w:rPr>
        <w:t>。</w:t>
      </w:r>
    </w:p>
    <w:p>
      <w:pPr>
        <w:widowControl w:val="0"/>
        <w:spacing w:before="0" w:after="0" w:line="360" w:lineRule="auto"/>
        <w:rPr>
          <w:sz w:val="21"/>
          <w:szCs w:val="21"/>
        </w:rPr>
      </w:pPr>
      <w:r>
        <w:rPr>
          <w:sz w:val="21"/>
          <w:szCs w:val="21"/>
        </w:rPr>
        <w:t xml:space="preserve">9. </w:t>
      </w:r>
      <w:r>
        <w:rPr>
          <w:rFonts w:ascii="SimSun" w:eastAsia="SimSun" w:hAnsi="SimSun" w:cs="SimSun"/>
          <w:sz w:val="21"/>
          <w:szCs w:val="21"/>
        </w:rPr>
        <w:t>2024年是中国极地考察40周年，一代代极地工作者勇斗极寒、拼搏奉献，推动极地科考事业从无到有、由弱到强。考察站是进行极地科考的“大本营”，随着建造能力、机械装备等科技能力的大幅提升，考察站的建造也在一步步推动着海洋强国的建设。建设考察站（</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①取决于极地工作者在极寒中的拼搏与付出</w:t>
      </w:r>
    </w:p>
    <w:p>
      <w:pPr>
        <w:widowControl w:val="0"/>
        <w:spacing w:before="0" w:after="0" w:line="360" w:lineRule="auto"/>
        <w:rPr>
          <w:sz w:val="21"/>
          <w:szCs w:val="21"/>
        </w:rPr>
      </w:pPr>
      <w:r>
        <w:rPr>
          <w:rFonts w:ascii="SimSun" w:eastAsia="SimSun" w:hAnsi="SimSun" w:cs="SimSun"/>
          <w:sz w:val="21"/>
          <w:szCs w:val="21"/>
        </w:rPr>
        <w:t>②体现极地科考合规律性与合目的性的统一</w:t>
      </w:r>
    </w:p>
    <w:p>
      <w:pPr>
        <w:widowControl w:val="0"/>
        <w:spacing w:before="0" w:after="0" w:line="360" w:lineRule="auto"/>
        <w:rPr>
          <w:sz w:val="21"/>
          <w:szCs w:val="21"/>
        </w:rPr>
      </w:pPr>
      <w:r>
        <w:rPr>
          <w:rFonts w:ascii="SimSun" w:eastAsia="SimSun" w:hAnsi="SimSun" w:cs="SimSun"/>
          <w:sz w:val="21"/>
          <w:szCs w:val="21"/>
        </w:rPr>
        <w:t>③依据从客观存在事物出发的极地科考要求</w:t>
      </w:r>
    </w:p>
    <w:p>
      <w:pPr>
        <w:widowControl w:val="0"/>
        <w:spacing w:before="0" w:after="0" w:line="360" w:lineRule="auto"/>
        <w:rPr>
          <w:sz w:val="21"/>
          <w:szCs w:val="21"/>
        </w:rPr>
      </w:pPr>
      <w:r>
        <w:rPr>
          <w:rFonts w:ascii="SimSun" w:eastAsia="SimSun" w:hAnsi="SimSun" w:cs="SimSun"/>
          <w:sz w:val="21"/>
          <w:szCs w:val="21"/>
        </w:rPr>
        <w:t>④表明意识能把观念的存在变成现实的存在</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C</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【详解】①：极地工作者在极寒中的拼搏与付出促进了考察站的建设，但不是起决定作用，①错误。</w:t>
      </w:r>
    </w:p>
    <w:p>
      <w:pPr>
        <w:widowControl w:val="0"/>
        <w:spacing w:before="0" w:after="0" w:line="360" w:lineRule="auto"/>
        <w:rPr>
          <w:sz w:val="21"/>
          <w:szCs w:val="21"/>
        </w:rPr>
      </w:pPr>
      <w:r>
        <w:rPr>
          <w:rFonts w:ascii="SimSun" w:eastAsia="SimSun" w:hAnsi="SimSun" w:cs="SimSun"/>
          <w:sz w:val="21"/>
          <w:szCs w:val="21"/>
        </w:rPr>
        <w:t>②：在极地工作者的拼搏下极地科考事业从无到有、由弱到强，体现了极地科考合规律性与合目的性的统一，②正确。</w:t>
      </w:r>
    </w:p>
    <w:p>
      <w:pPr>
        <w:widowControl w:val="0"/>
        <w:spacing w:before="0" w:after="0" w:line="360" w:lineRule="auto"/>
        <w:rPr>
          <w:sz w:val="21"/>
          <w:szCs w:val="21"/>
        </w:rPr>
      </w:pPr>
      <w:r>
        <w:rPr>
          <w:rFonts w:ascii="SimSun" w:eastAsia="SimSun" w:hAnsi="SimSun" w:cs="SimSun"/>
          <w:sz w:val="21"/>
          <w:szCs w:val="21"/>
        </w:rPr>
        <w:t>③：建设考察站充分凭借了建造能力、机械装备等科技能力的大幅提升，推动极地科考事业从无到有、由弱到强，坚持了一切从实际出发，③正确。</w:t>
      </w:r>
    </w:p>
    <w:p>
      <w:pPr>
        <w:widowControl w:val="0"/>
        <w:spacing w:before="0" w:after="0" w:line="360" w:lineRule="auto"/>
        <w:rPr>
          <w:sz w:val="21"/>
          <w:szCs w:val="21"/>
        </w:rPr>
      </w:pPr>
      <w:r>
        <w:rPr>
          <w:rFonts w:ascii="SimSun" w:eastAsia="SimSun" w:hAnsi="SimSun" w:cs="SimSun"/>
          <w:sz w:val="21"/>
          <w:szCs w:val="21"/>
        </w:rPr>
        <w:t>④：实践具有直接现实性，意识不具有直接现实性，④错误。</w:t>
      </w:r>
    </w:p>
    <w:p>
      <w:pPr>
        <w:widowControl w:val="0"/>
        <w:spacing w:before="0" w:after="0" w:line="360" w:lineRule="auto"/>
        <w:rPr>
          <w:sz w:val="21"/>
          <w:szCs w:val="21"/>
        </w:rPr>
      </w:pPr>
      <w:r>
        <w:rPr>
          <w:rFonts w:ascii="SimSun" w:eastAsia="SimSun" w:hAnsi="SimSun" w:cs="SimSun"/>
          <w:sz w:val="21"/>
          <w:szCs w:val="21"/>
        </w:rPr>
        <w:t>故本题选</w:t>
      </w:r>
      <w:r>
        <w:rPr>
          <w:sz w:val="21"/>
          <w:szCs w:val="21"/>
        </w:rPr>
        <w:t>C</w:t>
      </w:r>
      <w:r>
        <w:rPr>
          <w:rFonts w:ascii="SimSun" w:eastAsia="SimSun" w:hAnsi="SimSun" w:cs="SimSun"/>
          <w:sz w:val="21"/>
          <w:szCs w:val="21"/>
        </w:rPr>
        <w:t>。</w:t>
      </w:r>
    </w:p>
    <w:p>
      <w:pPr>
        <w:widowControl w:val="0"/>
        <w:spacing w:before="0" w:after="0" w:line="360" w:lineRule="auto"/>
        <w:rPr>
          <w:sz w:val="21"/>
          <w:szCs w:val="21"/>
        </w:rPr>
      </w:pPr>
      <w:r>
        <w:rPr>
          <w:sz w:val="21"/>
          <w:szCs w:val="21"/>
        </w:rPr>
        <w:t xml:space="preserve">10. </w:t>
      </w:r>
      <w:r>
        <w:rPr>
          <w:rFonts w:ascii="SimSun" w:eastAsia="SimSun" w:hAnsi="SimSun" w:cs="SimSun"/>
          <w:sz w:val="21"/>
          <w:szCs w:val="21"/>
        </w:rPr>
        <w:t>下图漫画《山不辞石，故能成其高》给我们的哲学启示是（</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strike w:val="0"/>
          <w:sz w:val="21"/>
          <w:szCs w:val="21"/>
          <w:u w:val="none"/>
        </w:rPr>
        <w:drawing>
          <wp:inline>
            <wp:extent cx="2019300" cy="2085975"/>
            <wp:docPr id="10008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
                    <pic:cNvPicPr>
                      <a:picLocks noChangeAspect="1"/>
                    </pic:cNvPicPr>
                  </pic:nvPicPr>
                  <pic:blipFill>
                    <a:blip xmlns:r="http://schemas.openxmlformats.org/officeDocument/2006/relationships" r:embed="rId12"/>
                    <a:stretch>
                      <a:fillRect/>
                    </a:stretch>
                  </pic:blipFill>
                  <pic:spPr>
                    <a:xfrm>
                      <a:off x="0" y="0"/>
                      <a:ext cx="2019300" cy="2085975"/>
                    </a:xfrm>
                    <a:prstGeom prst="rect">
                      <a:avLst/>
                    </a:prstGeom>
                  </pic:spPr>
                </pic:pic>
              </a:graphicData>
            </a:graphic>
          </wp:inline>
        </w:drawing>
      </w:r>
    </w:p>
    <w:p>
      <w:pPr>
        <w:widowControl w:val="0"/>
        <w:spacing w:before="0" w:after="0" w:line="360" w:lineRule="auto"/>
        <w:rPr>
          <w:sz w:val="21"/>
          <w:szCs w:val="21"/>
        </w:rPr>
      </w:pPr>
      <w:r>
        <w:rPr>
          <w:rFonts w:ascii="SimSun" w:eastAsia="SimSun" w:hAnsi="SimSun" w:cs="SimSun"/>
          <w:sz w:val="21"/>
          <w:szCs w:val="21"/>
        </w:rPr>
        <w:t>①重视量的积累，成功的人生是一件件的小事累积起来的</w:t>
      </w:r>
    </w:p>
    <w:p>
      <w:pPr>
        <w:widowControl w:val="0"/>
        <w:spacing w:before="0" w:after="0" w:line="360" w:lineRule="auto"/>
        <w:rPr>
          <w:sz w:val="21"/>
          <w:szCs w:val="21"/>
        </w:rPr>
      </w:pPr>
      <w:r>
        <w:rPr>
          <w:rFonts w:ascii="SimSun" w:eastAsia="SimSun" w:hAnsi="SimSun" w:cs="SimSun"/>
          <w:sz w:val="21"/>
          <w:szCs w:val="21"/>
        </w:rPr>
        <w:t>②事物发展方向是前进的，应勇敢面对人生道路上的考验</w:t>
      </w:r>
    </w:p>
    <w:p>
      <w:pPr>
        <w:widowControl w:val="0"/>
        <w:spacing w:before="0" w:after="0" w:line="360" w:lineRule="auto"/>
        <w:rPr>
          <w:sz w:val="21"/>
          <w:szCs w:val="21"/>
        </w:rPr>
      </w:pPr>
      <w:r>
        <w:rPr>
          <w:rFonts w:ascii="SimSun" w:eastAsia="SimSun" w:hAnsi="SimSun" w:cs="SimSun"/>
          <w:sz w:val="21"/>
          <w:szCs w:val="21"/>
        </w:rPr>
        <w:t>③把握联系的多样性，绘就人生宏图要以一切条件为转移</w:t>
      </w:r>
      <w:r>
        <w:rPr>
          <w:strike w:val="0"/>
          <w:sz w:val="21"/>
          <w:szCs w:val="21"/>
          <w:u w:val="none"/>
        </w:rPr>
        <w:drawing>
          <wp:inline>
            <wp:extent cx="28575" cy="28575"/>
            <wp:docPr id="100087" name=""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rPr>
          <w:sz w:val="21"/>
          <w:szCs w:val="21"/>
        </w:rPr>
      </w:pPr>
      <w:r>
        <w:rPr>
          <w:rFonts w:ascii="SimSun" w:eastAsia="SimSun" w:hAnsi="SimSun" w:cs="SimSun"/>
          <w:sz w:val="21"/>
          <w:szCs w:val="21"/>
        </w:rPr>
        <w:t>④质变是量变的必然结果，要坚信不平凡源自做好平凡事</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B</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w:t>
      </w:r>
      <w:r>
        <w:rPr>
          <w:rFonts w:ascii="Cambria Math" w:eastAsia="Cambria Math" w:hAnsi="Cambria Math" w:cs="Cambria Math"/>
          <w:sz w:val="21"/>
          <w:szCs w:val="21"/>
        </w:rPr>
        <w:t>①④</w:t>
      </w:r>
      <w:r>
        <w:rPr>
          <w:rFonts w:ascii="SimSun" w:eastAsia="SimSun" w:hAnsi="SimSun" w:cs="SimSun"/>
          <w:sz w:val="21"/>
          <w:szCs w:val="21"/>
        </w:rPr>
        <w:t>：山不辞石，故能成其高，原意是指大山不拒绝任何石块，因而能成就它</w:t>
      </w:r>
      <w:r>
        <w:rPr>
          <w:strike w:val="0"/>
          <w:sz w:val="21"/>
          <w:szCs w:val="21"/>
          <w:u w:val="none"/>
        </w:rPr>
        <w:drawing>
          <wp:inline>
            <wp:extent cx="133350" cy="180975"/>
            <wp:docPr id="1001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1" name=""/>
                    <pic:cNvPicPr>
                      <a:picLocks noChangeAspect="1"/>
                    </pic:cNvPicPr>
                  </pic:nvPicPr>
                  <pic:blipFill>
                    <a:blip xmlns:r="http://schemas.openxmlformats.org/officeDocument/2006/relationships" r:embed="rId9"/>
                    <a:stretch>
                      <a:fillRect/>
                    </a:stretch>
                  </pic:blipFill>
                  <pic:spPr>
                    <a:xfrm>
                      <a:off x="0" y="0"/>
                      <a:ext cx="133350" cy="180975"/>
                    </a:xfrm>
                    <a:prstGeom prst="rect">
                      <a:avLst/>
                    </a:prstGeom>
                  </pic:spPr>
                </pic:pic>
              </a:graphicData>
            </a:graphic>
          </wp:inline>
        </w:drawing>
      </w:r>
      <w:r>
        <w:rPr>
          <w:rFonts w:ascii="SimSun" w:eastAsia="SimSun" w:hAnsi="SimSun" w:cs="SimSun"/>
          <w:sz w:val="21"/>
          <w:szCs w:val="21"/>
        </w:rPr>
        <w:t>险峻，这启示我们量变是质变的必要准备，成功的人生是一件件的小事累积起来的，要重视量的积累；质变是量变的必然结果，要坚信不平凡的人生源自做好平凡的每一件事，</w:t>
      </w:r>
      <w:r>
        <w:rPr>
          <w:rFonts w:ascii="Cambria Math" w:eastAsia="Cambria Math" w:hAnsi="Cambria Math" w:cs="Cambria Math"/>
          <w:sz w:val="21"/>
          <w:szCs w:val="21"/>
        </w:rPr>
        <w:t>①④</w:t>
      </w:r>
      <w:r>
        <w:rPr>
          <w:rFonts w:ascii="SimSun" w:eastAsia="SimSun" w:hAnsi="SimSun" w:cs="SimSun"/>
          <w:sz w:val="21"/>
          <w:szCs w:val="21"/>
        </w:rPr>
        <w:t>符合题意。</w:t>
      </w:r>
    </w:p>
    <w:p>
      <w:pPr>
        <w:widowControl w:val="0"/>
        <w:spacing w:before="0" w:after="0" w:line="360" w:lineRule="auto"/>
        <w:rPr>
          <w:sz w:val="21"/>
          <w:szCs w:val="21"/>
        </w:rPr>
      </w:pPr>
      <w:r>
        <w:rPr>
          <w:rFonts w:ascii="Cambria Math" w:eastAsia="Cambria Math" w:hAnsi="Cambria Math" w:cs="Cambria Math"/>
          <w:sz w:val="21"/>
          <w:szCs w:val="21"/>
        </w:rPr>
        <w:t>②</w:t>
      </w:r>
      <w:r>
        <w:rPr>
          <w:rFonts w:ascii="SimSun" w:eastAsia="SimSun" w:hAnsi="SimSun" w:cs="SimSun"/>
          <w:sz w:val="21"/>
          <w:szCs w:val="21"/>
        </w:rPr>
        <w:t>：漫画强调量变与质变的统一，没有体现前进性与曲折性的统一，</w:t>
      </w:r>
      <w:r>
        <w:rPr>
          <w:rFonts w:ascii="Cambria Math" w:eastAsia="Cambria Math" w:hAnsi="Cambria Math" w:cs="Cambria Math"/>
          <w:sz w:val="21"/>
          <w:szCs w:val="21"/>
        </w:rPr>
        <w:t>②</w:t>
      </w:r>
      <w:r>
        <w:rPr>
          <w:rFonts w:ascii="SimSun" w:eastAsia="SimSun" w:hAnsi="SimSun" w:cs="SimSun"/>
          <w:sz w:val="21"/>
          <w:szCs w:val="21"/>
        </w:rPr>
        <w:t>与题意不符。</w:t>
      </w:r>
    </w:p>
    <w:p>
      <w:pPr>
        <w:widowControl w:val="0"/>
        <w:spacing w:before="0" w:after="0" w:line="360" w:lineRule="auto"/>
        <w:rPr>
          <w:sz w:val="21"/>
          <w:szCs w:val="21"/>
        </w:rPr>
      </w:pPr>
      <w:r>
        <w:rPr>
          <w:rFonts w:ascii="Cambria Math" w:eastAsia="Cambria Math" w:hAnsi="Cambria Math" w:cs="Cambria Math"/>
          <w:sz w:val="21"/>
          <w:szCs w:val="21"/>
        </w:rPr>
        <w:t>③</w:t>
      </w:r>
      <w:r>
        <w:rPr>
          <w:rFonts w:ascii="SimSun" w:eastAsia="SimSun" w:hAnsi="SimSun" w:cs="SimSun"/>
          <w:sz w:val="21"/>
          <w:szCs w:val="21"/>
        </w:rPr>
        <w:t>：材料漫画没有体现把握联系的多样性，且联系的多样性要求一切以时间、地点、条件为转移，而不是以一切条件为转移，</w:t>
      </w:r>
      <w:r>
        <w:rPr>
          <w:rFonts w:ascii="Cambria Math" w:eastAsia="Cambria Math" w:hAnsi="Cambria Math" w:cs="Cambria Math"/>
          <w:sz w:val="21"/>
          <w:szCs w:val="21"/>
        </w:rPr>
        <w:t>③</w:t>
      </w:r>
      <w:r>
        <w:rPr>
          <w:rFonts w:ascii="SimSun" w:eastAsia="SimSun" w:hAnsi="SimSun" w:cs="SimSun"/>
          <w:sz w:val="21"/>
          <w:szCs w:val="21"/>
        </w:rPr>
        <w:t>排除。</w:t>
      </w:r>
    </w:p>
    <w:p>
      <w:pPr>
        <w:widowControl w:val="0"/>
        <w:spacing w:before="0" w:after="0" w:line="360" w:lineRule="auto"/>
        <w:rPr>
          <w:sz w:val="21"/>
          <w:szCs w:val="21"/>
        </w:rPr>
      </w:pPr>
      <w:r>
        <w:rPr>
          <w:rFonts w:ascii="SimSun" w:eastAsia="SimSun" w:hAnsi="SimSun" w:cs="SimSun"/>
          <w:sz w:val="21"/>
          <w:szCs w:val="21"/>
        </w:rPr>
        <w:t>故本题选</w:t>
      </w:r>
      <w:r>
        <w:rPr>
          <w:sz w:val="21"/>
          <w:szCs w:val="21"/>
        </w:rPr>
        <w:t>B</w:t>
      </w:r>
      <w:r>
        <w:rPr>
          <w:rFonts w:ascii="SimSun" w:eastAsia="SimSun" w:hAnsi="SimSun" w:cs="SimSun"/>
          <w:sz w:val="21"/>
          <w:szCs w:val="21"/>
        </w:rPr>
        <w:t>。</w:t>
      </w:r>
    </w:p>
    <w:p>
      <w:pPr>
        <w:widowControl w:val="0"/>
        <w:spacing w:before="0" w:after="0" w:line="360" w:lineRule="auto"/>
        <w:rPr>
          <w:sz w:val="21"/>
          <w:szCs w:val="21"/>
        </w:rPr>
      </w:pPr>
      <w:r>
        <w:rPr>
          <w:sz w:val="21"/>
          <w:szCs w:val="21"/>
        </w:rPr>
        <w:t xml:space="preserve">11. </w:t>
      </w:r>
      <w:r>
        <w:rPr>
          <w:rFonts w:ascii="SimSun" w:eastAsia="SimSun" w:hAnsi="SimSun" w:cs="SimSun"/>
          <w:sz w:val="21"/>
          <w:szCs w:val="21"/>
        </w:rPr>
        <w:t>文化遗产不仅是历史的见证、文明的标志，更承载着中华优秀传统文化生生不息、赓续不绝的厚重基因。从古老的长城到壮丽的故宫，从神秘的莫高窟到秀美的丽江古城，一处处世界文化遗产在精心呵护下绽放出绚丽光彩。可见，守护中华文明瑰宝（</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①将为人类文明的发展作出一定的贡献</w:t>
      </w:r>
      <w:r>
        <w:rPr>
          <w:rFonts w:ascii="SimSun" w:eastAsia="SimSun" w:hAnsi="SimSun" w:cs="SimSun"/>
          <w:sz w:val="21"/>
          <w:szCs w:val="21"/>
        </w:rPr>
        <w:t xml:space="preserve">    </w:t>
      </w:r>
    </w:p>
    <w:p>
      <w:pPr>
        <w:widowControl w:val="0"/>
        <w:spacing w:before="0" w:after="0" w:line="360" w:lineRule="auto"/>
        <w:rPr>
          <w:sz w:val="21"/>
          <w:szCs w:val="21"/>
        </w:rPr>
      </w:pPr>
      <w:r>
        <w:rPr>
          <w:rFonts w:ascii="SimSun" w:eastAsia="SimSun" w:hAnsi="SimSun" w:cs="SimSun"/>
          <w:sz w:val="21"/>
          <w:szCs w:val="21"/>
        </w:rPr>
        <w:t>②要加强国际文化交流合作和文明交流互鉴</w:t>
      </w:r>
    </w:p>
    <w:p>
      <w:pPr>
        <w:widowControl w:val="0"/>
        <w:spacing w:before="0" w:after="0" w:line="360" w:lineRule="auto"/>
        <w:rPr>
          <w:sz w:val="21"/>
          <w:szCs w:val="21"/>
        </w:rPr>
      </w:pPr>
      <w:r>
        <w:rPr>
          <w:rFonts w:ascii="SimSun" w:eastAsia="SimSun" w:hAnsi="SimSun" w:cs="SimSun"/>
          <w:sz w:val="21"/>
          <w:szCs w:val="21"/>
        </w:rPr>
        <w:t>③能够增强我们的文化自信和民族自豪感</w:t>
      </w:r>
      <w:r>
        <w:rPr>
          <w:rFonts w:ascii="SimSun" w:eastAsia="SimSun" w:hAnsi="SimSun" w:cs="SimSun"/>
          <w:sz w:val="21"/>
          <w:szCs w:val="21"/>
        </w:rPr>
        <w:t xml:space="preserve">    </w:t>
      </w:r>
    </w:p>
    <w:p>
      <w:pPr>
        <w:widowControl w:val="0"/>
        <w:spacing w:before="0" w:after="0" w:line="360" w:lineRule="auto"/>
        <w:rPr>
          <w:sz w:val="21"/>
          <w:szCs w:val="21"/>
        </w:rPr>
      </w:pPr>
      <w:r>
        <w:rPr>
          <w:rFonts w:ascii="SimSun" w:eastAsia="SimSun" w:hAnsi="SimSun" w:cs="SimSun"/>
          <w:sz w:val="21"/>
          <w:szCs w:val="21"/>
        </w:rPr>
        <w:t>④必须增强对世界各民族文化的理解和认同</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②④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A</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w:t>
      </w:r>
      <w:r>
        <w:rPr>
          <w:rFonts w:ascii="Cambria Math" w:eastAsia="Cambria Math" w:hAnsi="Cambria Math" w:cs="Cambria Math"/>
          <w:sz w:val="21"/>
          <w:szCs w:val="21"/>
        </w:rPr>
        <w:t>①③</w:t>
      </w:r>
      <w:r>
        <w:rPr>
          <w:rFonts w:ascii="SimSun" w:eastAsia="SimSun" w:hAnsi="SimSun" w:cs="SimSun"/>
          <w:sz w:val="21"/>
          <w:szCs w:val="21"/>
        </w:rPr>
        <w:t>：文化遗产不仅是历史的见证、文明的标志，更承载着中华优秀传统文化生生不息、赓续不绝的厚重基因。守护中华文明瑰宝能够增强我们的文化自信和民族自豪感，将为人类文明的发展作出一定的贡献，</w:t>
      </w:r>
      <w:r>
        <w:rPr>
          <w:rFonts w:ascii="Cambria Math" w:eastAsia="Cambria Math" w:hAnsi="Cambria Math" w:cs="Cambria Math"/>
          <w:sz w:val="21"/>
          <w:szCs w:val="21"/>
        </w:rPr>
        <w:t>①③</w:t>
      </w:r>
      <w:r>
        <w:rPr>
          <w:rFonts w:ascii="SimSun" w:eastAsia="SimSun" w:hAnsi="SimSun" w:cs="SimSun"/>
          <w:sz w:val="21"/>
          <w:szCs w:val="21"/>
        </w:rPr>
        <w:t>正确。</w:t>
      </w:r>
    </w:p>
    <w:p>
      <w:pPr>
        <w:widowControl w:val="0"/>
        <w:spacing w:before="0" w:after="0" w:line="360" w:lineRule="auto"/>
        <w:rPr>
          <w:sz w:val="21"/>
          <w:szCs w:val="21"/>
        </w:rPr>
      </w:pPr>
      <w:r>
        <w:rPr>
          <w:rFonts w:ascii="Cambria Math" w:eastAsia="Cambria Math" w:hAnsi="Cambria Math" w:cs="Cambria Math"/>
          <w:sz w:val="21"/>
          <w:szCs w:val="21"/>
        </w:rPr>
        <w:t>②</w:t>
      </w:r>
      <w:r>
        <w:rPr>
          <w:rFonts w:ascii="SimSun" w:eastAsia="SimSun" w:hAnsi="SimSun" w:cs="SimSun"/>
          <w:sz w:val="21"/>
          <w:szCs w:val="21"/>
        </w:rPr>
        <w:t>：材料没有涉及加强国际文化交流合作和文明交流互鉴，</w:t>
      </w:r>
      <w:r>
        <w:rPr>
          <w:rFonts w:ascii="Cambria Math" w:eastAsia="Cambria Math" w:hAnsi="Cambria Math" w:cs="Cambria Math"/>
          <w:sz w:val="21"/>
          <w:szCs w:val="21"/>
        </w:rPr>
        <w:t>②</w:t>
      </w:r>
      <w:r>
        <w:rPr>
          <w:rFonts w:ascii="SimSun" w:eastAsia="SimSun" w:hAnsi="SimSun" w:cs="SimSun"/>
          <w:sz w:val="21"/>
          <w:szCs w:val="21"/>
        </w:rPr>
        <w:t>与题意不符。</w:t>
      </w:r>
    </w:p>
    <w:p>
      <w:pPr>
        <w:widowControl w:val="0"/>
        <w:spacing w:before="0" w:after="0" w:line="360" w:lineRule="auto"/>
        <w:rPr>
          <w:sz w:val="21"/>
          <w:szCs w:val="21"/>
        </w:rPr>
      </w:pPr>
      <w:r>
        <w:rPr>
          <w:rFonts w:ascii="Cambria Math" w:eastAsia="Cambria Math" w:hAnsi="Cambria Math" w:cs="Cambria Math"/>
          <w:sz w:val="21"/>
          <w:szCs w:val="21"/>
        </w:rPr>
        <w:t>④</w:t>
      </w:r>
      <w:r>
        <w:rPr>
          <w:rFonts w:ascii="SimSun" w:eastAsia="SimSun" w:hAnsi="SimSun" w:cs="SimSun"/>
          <w:sz w:val="21"/>
          <w:szCs w:val="21"/>
        </w:rPr>
        <w:t>：文化多样性要求认同本民族文化，尊重其他民族文化，“增强对世界各民族文化的理解和认同”错误，</w:t>
      </w:r>
      <w:r>
        <w:rPr>
          <w:rFonts w:ascii="Cambria Math" w:eastAsia="Cambria Math" w:hAnsi="Cambria Math" w:cs="Cambria Math"/>
          <w:sz w:val="21"/>
          <w:szCs w:val="21"/>
        </w:rPr>
        <w:t>④</w:t>
      </w:r>
      <w:r>
        <w:rPr>
          <w:rFonts w:ascii="SimSun" w:eastAsia="SimSun" w:hAnsi="SimSun" w:cs="SimSun"/>
          <w:sz w:val="21"/>
          <w:szCs w:val="21"/>
        </w:rPr>
        <w:t>排除。</w:t>
      </w:r>
    </w:p>
    <w:p>
      <w:pPr>
        <w:widowControl w:val="0"/>
        <w:spacing w:before="0" w:after="0" w:line="360" w:lineRule="auto"/>
        <w:rPr>
          <w:sz w:val="21"/>
          <w:szCs w:val="21"/>
        </w:rPr>
      </w:pPr>
      <w:r>
        <w:rPr>
          <w:rFonts w:ascii="SimSun" w:eastAsia="SimSun" w:hAnsi="SimSun" w:cs="SimSun"/>
          <w:sz w:val="21"/>
          <w:szCs w:val="21"/>
        </w:rPr>
        <w:t>故本题选</w:t>
      </w:r>
      <w:r>
        <w:rPr>
          <w:sz w:val="21"/>
          <w:szCs w:val="21"/>
        </w:rPr>
        <w:t>A</w:t>
      </w:r>
      <w:r>
        <w:rPr>
          <w:rFonts w:ascii="SimSun" w:eastAsia="SimSun" w:hAnsi="SimSun" w:cs="SimSun"/>
          <w:sz w:val="21"/>
          <w:szCs w:val="21"/>
        </w:rPr>
        <w:t>。</w:t>
      </w:r>
    </w:p>
    <w:p>
      <w:pPr>
        <w:widowControl w:val="0"/>
        <w:spacing w:before="0" w:after="0" w:line="360" w:lineRule="auto"/>
        <w:rPr>
          <w:sz w:val="21"/>
          <w:szCs w:val="21"/>
        </w:rPr>
      </w:pPr>
      <w:r>
        <w:rPr>
          <w:sz w:val="21"/>
          <w:szCs w:val="21"/>
        </w:rPr>
        <w:t xml:space="preserve">12. </w:t>
      </w:r>
      <w:r>
        <w:rPr>
          <w:rFonts w:ascii="SimSun" w:eastAsia="SimSun" w:hAnsi="SimSun" w:cs="SimSun"/>
          <w:sz w:val="21"/>
          <w:szCs w:val="21"/>
        </w:rPr>
        <w:t>2024年3月，习近平总书记在湖南考察时强调，要更好担负起新的文化使命，传承历史文化，赓续革命文化，发展社会主义先进文化，使湖湘文化在新时代实现新发展、呈现新气象，在建设中华民族现代文</w:t>
      </w:r>
      <w:r>
        <w:rPr>
          <w:strike w:val="0"/>
          <w:sz w:val="21"/>
          <w:szCs w:val="21"/>
          <w:u w:val="none"/>
        </w:rPr>
        <w:drawing>
          <wp:inline>
            <wp:extent cx="28575" cy="28575"/>
            <wp:docPr id="100103" name=""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rPr>
          <w:sz w:val="21"/>
          <w:szCs w:val="21"/>
        </w:rPr>
      </w:pPr>
      <w:r>
        <w:rPr>
          <w:rFonts w:ascii="SimSun" w:eastAsia="SimSun" w:hAnsi="SimSun" w:cs="SimSun"/>
          <w:sz w:val="21"/>
          <w:szCs w:val="21"/>
        </w:rPr>
        <w:t>明中展现新作为。发掘湖湘文化的当代价值，必须（</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①运用好红色资源，加强革命传统和爱国主义教育</w:t>
      </w:r>
    </w:p>
    <w:p>
      <w:pPr>
        <w:widowControl w:val="0"/>
        <w:spacing w:before="0" w:after="0" w:line="360" w:lineRule="auto"/>
        <w:rPr>
          <w:sz w:val="21"/>
          <w:szCs w:val="21"/>
        </w:rPr>
      </w:pPr>
      <w:r>
        <w:rPr>
          <w:rFonts w:ascii="SimSun" w:eastAsia="SimSun" w:hAnsi="SimSun" w:cs="SimSun"/>
          <w:sz w:val="21"/>
          <w:szCs w:val="21"/>
        </w:rPr>
        <w:t>②立足人民群众的需求，满足人民群众的精神生活</w:t>
      </w:r>
    </w:p>
    <w:p>
      <w:pPr>
        <w:widowControl w:val="0"/>
        <w:spacing w:before="0" w:after="0" w:line="360" w:lineRule="auto"/>
        <w:rPr>
          <w:sz w:val="21"/>
          <w:szCs w:val="21"/>
        </w:rPr>
      </w:pPr>
      <w:r>
        <w:rPr>
          <w:rFonts w:ascii="SimSun" w:eastAsia="SimSun" w:hAnsi="SimSun" w:cs="SimSun"/>
          <w:sz w:val="21"/>
          <w:szCs w:val="21"/>
        </w:rPr>
        <w:t>③把握文化发展的规律，以文化发展推动文化交融</w:t>
      </w:r>
    </w:p>
    <w:p>
      <w:pPr>
        <w:widowControl w:val="0"/>
        <w:spacing w:before="0" w:after="0" w:line="360" w:lineRule="auto"/>
        <w:rPr>
          <w:sz w:val="21"/>
          <w:szCs w:val="21"/>
        </w:rPr>
      </w:pPr>
      <w:r>
        <w:rPr>
          <w:rFonts w:ascii="SimSun" w:eastAsia="SimSun" w:hAnsi="SimSun" w:cs="SimSun"/>
          <w:sz w:val="21"/>
          <w:szCs w:val="21"/>
        </w:rPr>
        <w:t>④践行社会主义核心价值观，培育新时代的新风貌</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②④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B</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【详解】①:“赓续革命文化，发展社会主义先进文化”说明发掘湖湘文化的当代价值，必须充分加强加强革命传统和爱国主义教育，用好红色资源，①正确。</w:t>
      </w:r>
    </w:p>
    <w:p>
      <w:pPr>
        <w:widowControl w:val="0"/>
        <w:spacing w:before="0" w:after="0" w:line="360" w:lineRule="auto"/>
        <w:rPr>
          <w:sz w:val="21"/>
          <w:szCs w:val="21"/>
        </w:rPr>
      </w:pPr>
      <w:r>
        <w:rPr>
          <w:rFonts w:ascii="SimSun" w:eastAsia="SimSun" w:hAnsi="SimSun" w:cs="SimSun"/>
          <w:sz w:val="21"/>
          <w:szCs w:val="21"/>
        </w:rPr>
        <w:t>②：发掘湖湘文化的当代价值，必须立足社会实践，②错误。</w:t>
      </w:r>
    </w:p>
    <w:p>
      <w:pPr>
        <w:widowControl w:val="0"/>
        <w:spacing w:before="0" w:after="0" w:line="360" w:lineRule="auto"/>
        <w:rPr>
          <w:sz w:val="21"/>
          <w:szCs w:val="21"/>
        </w:rPr>
      </w:pPr>
      <w:r>
        <w:rPr>
          <w:rFonts w:ascii="Cambria Math" w:eastAsia="Cambria Math" w:hAnsi="Cambria Math" w:cs="Cambria Math"/>
          <w:sz w:val="21"/>
          <w:szCs w:val="21"/>
        </w:rPr>
        <w:t>③</w:t>
      </w:r>
      <w:r>
        <w:rPr>
          <w:rFonts w:ascii="SimSun" w:eastAsia="SimSun" w:hAnsi="SimSun" w:cs="SimSun"/>
          <w:sz w:val="21"/>
          <w:szCs w:val="21"/>
        </w:rPr>
        <w:t>：应该是以文化交融推动文化发展，</w:t>
      </w:r>
      <w:r>
        <w:rPr>
          <w:rFonts w:ascii="Cambria Math" w:eastAsia="Cambria Math" w:hAnsi="Cambria Math" w:cs="Cambria Math"/>
          <w:sz w:val="21"/>
          <w:szCs w:val="21"/>
        </w:rPr>
        <w:t>③</w:t>
      </w:r>
      <w:r>
        <w:rPr>
          <w:rFonts w:ascii="SimSun" w:eastAsia="SimSun" w:hAnsi="SimSun" w:cs="SimSun"/>
          <w:sz w:val="21"/>
          <w:szCs w:val="21"/>
        </w:rPr>
        <w:t>错误。</w:t>
      </w:r>
    </w:p>
    <w:p>
      <w:pPr>
        <w:widowControl w:val="0"/>
        <w:spacing w:before="0" w:after="0" w:line="360" w:lineRule="auto"/>
        <w:rPr>
          <w:sz w:val="21"/>
          <w:szCs w:val="21"/>
        </w:rPr>
      </w:pPr>
      <w:r>
        <w:rPr>
          <w:rFonts w:ascii="SimSun" w:eastAsia="SimSun" w:hAnsi="SimSun" w:cs="SimSun"/>
          <w:sz w:val="21"/>
          <w:szCs w:val="21"/>
        </w:rPr>
        <w:t>④：发掘湖湘文化的当代价值，使湖湘文化在新时代实现新发展、呈现新气象，在建设中华民族现代文明中展现新作为，必须践行社会主义核心价值观，培育新时代的新风貌，④正确。</w:t>
      </w:r>
    </w:p>
    <w:p>
      <w:pPr>
        <w:widowControl w:val="0"/>
        <w:spacing w:before="0" w:after="0" w:line="360" w:lineRule="auto"/>
        <w:rPr>
          <w:sz w:val="21"/>
          <w:szCs w:val="21"/>
        </w:rPr>
      </w:pPr>
      <w:r>
        <w:rPr>
          <w:rFonts w:ascii="SimSun" w:eastAsia="SimSun" w:hAnsi="SimSun" w:cs="SimSun"/>
          <w:sz w:val="21"/>
          <w:szCs w:val="21"/>
        </w:rPr>
        <w:t>故本题选</w:t>
      </w:r>
      <w:r>
        <w:rPr>
          <w:sz w:val="21"/>
          <w:szCs w:val="21"/>
        </w:rPr>
        <w:t>B</w:t>
      </w:r>
      <w:r>
        <w:rPr>
          <w:rFonts w:ascii="SimSun" w:eastAsia="SimSun" w:hAnsi="SimSun" w:cs="SimSun"/>
          <w:sz w:val="21"/>
          <w:szCs w:val="21"/>
        </w:rPr>
        <w:t>。</w:t>
      </w:r>
    </w:p>
    <w:p>
      <w:pPr>
        <w:widowControl w:val="0"/>
        <w:spacing w:before="0" w:after="0" w:line="360" w:lineRule="auto"/>
        <w:rPr>
          <w:sz w:val="21"/>
          <w:szCs w:val="21"/>
        </w:rPr>
      </w:pPr>
      <w:r>
        <w:rPr>
          <w:sz w:val="21"/>
          <w:szCs w:val="21"/>
        </w:rPr>
        <w:t xml:space="preserve">13. </w:t>
      </w:r>
      <w:r>
        <w:rPr>
          <w:rFonts w:ascii="SimSun" w:eastAsia="SimSun" w:hAnsi="SimSun" w:cs="SimSun"/>
          <w:sz w:val="21"/>
          <w:szCs w:val="21"/>
        </w:rPr>
        <w:t>2024年是中匈建交75周年。两国领导人日前共同宣布，将中匈关系提升为新时代全天候全面战略伙伴关系。双方签署或达成一致的合作文件有18份，涵盖共建“一带一路”、经贸、投资、科技等多领域，成果丰硕且具有重要意义。这表明（</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①国家间的共同利益是中匈两国合作的基础</w:t>
      </w:r>
    </w:p>
    <w:p>
      <w:pPr>
        <w:widowControl w:val="0"/>
        <w:spacing w:before="0" w:after="0" w:line="360" w:lineRule="auto"/>
        <w:rPr>
          <w:sz w:val="21"/>
          <w:szCs w:val="21"/>
        </w:rPr>
      </w:pPr>
      <w:r>
        <w:rPr>
          <w:rFonts w:ascii="SimSun" w:eastAsia="SimSun" w:hAnsi="SimSun" w:cs="SimSun"/>
          <w:sz w:val="21"/>
          <w:szCs w:val="21"/>
        </w:rPr>
        <w:t>②中匈不断深化以合作为主要内容的国际关系</w:t>
      </w:r>
    </w:p>
    <w:p>
      <w:pPr>
        <w:widowControl w:val="0"/>
        <w:spacing w:before="0" w:after="0" w:line="360" w:lineRule="auto"/>
        <w:rPr>
          <w:sz w:val="21"/>
          <w:szCs w:val="21"/>
        </w:rPr>
      </w:pPr>
      <w:r>
        <w:rPr>
          <w:rFonts w:ascii="SimSun" w:eastAsia="SimSun" w:hAnsi="SimSun" w:cs="SimSun"/>
          <w:sz w:val="21"/>
          <w:szCs w:val="21"/>
        </w:rPr>
        <w:t>③中匈两国确保双边关系始终保持高水平运行</w:t>
      </w:r>
    </w:p>
    <w:p>
      <w:pPr>
        <w:widowControl w:val="0"/>
        <w:spacing w:before="0" w:after="0" w:line="360" w:lineRule="auto"/>
        <w:rPr>
          <w:sz w:val="21"/>
          <w:szCs w:val="21"/>
        </w:rPr>
      </w:pPr>
      <w:r>
        <w:rPr>
          <w:rFonts w:ascii="SimSun" w:eastAsia="SimSun" w:hAnsi="SimSun" w:cs="SimSun"/>
          <w:sz w:val="21"/>
          <w:szCs w:val="21"/>
        </w:rPr>
        <w:t>④中匈在根本利益上的一致性增强了两国互信</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②④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A</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w:t>
      </w:r>
      <w:r>
        <w:rPr>
          <w:rFonts w:ascii="Cambria Math" w:eastAsia="Cambria Math" w:hAnsi="Cambria Math" w:cs="Cambria Math"/>
          <w:sz w:val="21"/>
          <w:szCs w:val="21"/>
        </w:rPr>
        <w:t>①③</w:t>
      </w:r>
      <w:r>
        <w:rPr>
          <w:rFonts w:ascii="SimSun" w:eastAsia="SimSun" w:hAnsi="SimSun" w:cs="SimSun"/>
          <w:sz w:val="21"/>
          <w:szCs w:val="21"/>
        </w:rPr>
        <w:t>：</w:t>
      </w:r>
      <w:r>
        <w:rPr>
          <w:sz w:val="21"/>
          <w:szCs w:val="21"/>
        </w:rPr>
        <w:t>2024</w:t>
      </w:r>
      <w:r>
        <w:rPr>
          <w:rFonts w:ascii="SimSun" w:eastAsia="SimSun" w:hAnsi="SimSun" w:cs="SimSun"/>
          <w:sz w:val="21"/>
          <w:szCs w:val="21"/>
        </w:rPr>
        <w:t>年是中匈建交</w:t>
      </w:r>
      <w:r>
        <w:rPr>
          <w:sz w:val="21"/>
          <w:szCs w:val="21"/>
        </w:rPr>
        <w:t>75</w:t>
      </w:r>
      <w:r>
        <w:rPr>
          <w:rFonts w:ascii="SimSun" w:eastAsia="SimSun" w:hAnsi="SimSun" w:cs="SimSun"/>
          <w:sz w:val="21"/>
          <w:szCs w:val="21"/>
        </w:rPr>
        <w:t>周年。中匈两国领导人日前共同宣布，将中匈关系提升为新时代全天候全面战略伙伴关系，这表明中匈两国确保双边关系始终保持高水平运行，也说明国家间的共同利益是中匈两国合作的基础，</w:t>
      </w:r>
      <w:r>
        <w:rPr>
          <w:rFonts w:ascii="Cambria Math" w:eastAsia="Cambria Math" w:hAnsi="Cambria Math" w:cs="Cambria Math"/>
          <w:sz w:val="21"/>
          <w:szCs w:val="21"/>
        </w:rPr>
        <w:t>①③</w:t>
      </w:r>
      <w:r>
        <w:rPr>
          <w:rFonts w:ascii="SimSun" w:eastAsia="SimSun" w:hAnsi="SimSun" w:cs="SimSun"/>
          <w:sz w:val="21"/>
          <w:szCs w:val="21"/>
        </w:rPr>
        <w:t>符合题意。</w:t>
      </w:r>
    </w:p>
    <w:p>
      <w:pPr>
        <w:widowControl w:val="0"/>
        <w:spacing w:before="0" w:after="0" w:line="360" w:lineRule="auto"/>
        <w:rPr>
          <w:sz w:val="21"/>
          <w:szCs w:val="21"/>
        </w:rPr>
      </w:pPr>
      <w:r>
        <w:rPr>
          <w:rFonts w:ascii="Cambria Math" w:eastAsia="Cambria Math" w:hAnsi="Cambria Math" w:cs="Cambria Math"/>
          <w:sz w:val="21"/>
          <w:szCs w:val="21"/>
        </w:rPr>
        <w:t>②</w:t>
      </w:r>
      <w:r>
        <w:rPr>
          <w:rFonts w:ascii="SimSun" w:eastAsia="SimSun" w:hAnsi="SimSun" w:cs="SimSun"/>
          <w:sz w:val="21"/>
          <w:szCs w:val="21"/>
        </w:rPr>
        <w:t>：竞争、合作与冲突是国际关系的基本形式，国际关系内容包括政治、经济、文化、军事等，</w:t>
      </w:r>
      <w:r>
        <w:rPr>
          <w:rFonts w:ascii="Cambria Math" w:eastAsia="Cambria Math" w:hAnsi="Cambria Math" w:cs="Cambria Math"/>
          <w:sz w:val="21"/>
          <w:szCs w:val="21"/>
        </w:rPr>
        <w:t>②</w:t>
      </w:r>
      <w:r>
        <w:rPr>
          <w:rFonts w:ascii="SimSun" w:eastAsia="SimSun" w:hAnsi="SimSun" w:cs="SimSun"/>
          <w:sz w:val="21"/>
          <w:szCs w:val="21"/>
        </w:rPr>
        <w:t>错误。</w:t>
      </w:r>
    </w:p>
    <w:p>
      <w:pPr>
        <w:widowControl w:val="0"/>
        <w:spacing w:before="0" w:after="0" w:line="360" w:lineRule="auto"/>
        <w:rPr>
          <w:sz w:val="21"/>
          <w:szCs w:val="21"/>
        </w:rPr>
      </w:pPr>
      <w:r>
        <w:rPr>
          <w:rFonts w:ascii="Cambria Math" w:eastAsia="Cambria Math" w:hAnsi="Cambria Math" w:cs="Cambria Math"/>
          <w:sz w:val="21"/>
          <w:szCs w:val="21"/>
        </w:rPr>
        <w:t>④</w:t>
      </w:r>
      <w:r>
        <w:rPr>
          <w:rFonts w:ascii="SimSun" w:eastAsia="SimSun" w:hAnsi="SimSun" w:cs="SimSun"/>
          <w:sz w:val="21"/>
          <w:szCs w:val="21"/>
        </w:rPr>
        <w:t>：中匈存在共同的利益，但根本利益不同，</w:t>
      </w:r>
      <w:r>
        <w:rPr>
          <w:rFonts w:ascii="Cambria Math" w:eastAsia="Cambria Math" w:hAnsi="Cambria Math" w:cs="Cambria Math"/>
          <w:sz w:val="21"/>
          <w:szCs w:val="21"/>
        </w:rPr>
        <w:t>④</w:t>
      </w:r>
      <w:r>
        <w:rPr>
          <w:rFonts w:ascii="SimSun" w:eastAsia="SimSun" w:hAnsi="SimSun" w:cs="SimSun"/>
          <w:sz w:val="21"/>
          <w:szCs w:val="21"/>
        </w:rPr>
        <w:t>错误。</w:t>
      </w:r>
      <w:r>
        <w:rPr>
          <w:strike w:val="0"/>
          <w:sz w:val="21"/>
          <w:szCs w:val="21"/>
          <w:u w:val="none"/>
        </w:rPr>
        <w:drawing>
          <wp:inline>
            <wp:extent cx="28575" cy="28575"/>
            <wp:docPr id="100117" name=""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rPr>
          <w:sz w:val="21"/>
          <w:szCs w:val="21"/>
        </w:rPr>
      </w:pPr>
      <w:r>
        <w:rPr>
          <w:rFonts w:ascii="SimSun" w:eastAsia="SimSun" w:hAnsi="SimSun" w:cs="SimSun"/>
          <w:sz w:val="21"/>
          <w:szCs w:val="21"/>
        </w:rPr>
        <w:t>故本题选</w:t>
      </w:r>
      <w:r>
        <w:rPr>
          <w:sz w:val="21"/>
          <w:szCs w:val="21"/>
        </w:rPr>
        <w:t>A</w:t>
      </w:r>
      <w:r>
        <w:rPr>
          <w:rFonts w:ascii="SimSun" w:eastAsia="SimSun" w:hAnsi="SimSun" w:cs="SimSun"/>
          <w:sz w:val="21"/>
          <w:szCs w:val="21"/>
        </w:rPr>
        <w:t>。</w:t>
      </w:r>
    </w:p>
    <w:p>
      <w:pPr>
        <w:widowControl w:val="0"/>
        <w:spacing w:before="0" w:after="0" w:line="360" w:lineRule="auto"/>
        <w:rPr>
          <w:sz w:val="21"/>
          <w:szCs w:val="21"/>
        </w:rPr>
      </w:pPr>
      <w:r>
        <w:rPr>
          <w:sz w:val="21"/>
          <w:szCs w:val="21"/>
        </w:rPr>
        <w:t xml:space="preserve">14. </w:t>
      </w:r>
      <w:r>
        <w:rPr>
          <w:rFonts w:ascii="SimSun" w:eastAsia="SimSun" w:hAnsi="SimSun" w:cs="SimSun"/>
          <w:sz w:val="21"/>
          <w:szCs w:val="21"/>
        </w:rPr>
        <w:t>2024年9月24日，第21届中国—东盟博览会（以下简称东博会）在广西南宁举行。作为中国与东盟合作不可或缺的重要平台，东博会建立起了两者之间政治、经贸、人文等合作交流渠道，为亚太乃至世界带来更多发展机遇与福祉。第21届东博会（</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①将推动构建更为紧密的中国—东盟命运共同体</w:t>
      </w:r>
    </w:p>
    <w:p>
      <w:pPr>
        <w:widowControl w:val="0"/>
        <w:spacing w:before="0" w:after="0" w:line="360" w:lineRule="auto"/>
        <w:rPr>
          <w:sz w:val="21"/>
          <w:szCs w:val="21"/>
        </w:rPr>
      </w:pPr>
      <w:r>
        <w:rPr>
          <w:rFonts w:ascii="SimSun" w:eastAsia="SimSun" w:hAnsi="SimSun" w:cs="SimSun"/>
          <w:sz w:val="21"/>
          <w:szCs w:val="21"/>
        </w:rPr>
        <w:t>②创新了推进东盟区域合作和一体化建设的路径方式</w:t>
      </w:r>
    </w:p>
    <w:p>
      <w:pPr>
        <w:widowControl w:val="0"/>
        <w:spacing w:before="0" w:after="0" w:line="360" w:lineRule="auto"/>
        <w:rPr>
          <w:sz w:val="21"/>
          <w:szCs w:val="21"/>
        </w:rPr>
      </w:pPr>
      <w:r>
        <w:rPr>
          <w:rFonts w:ascii="SimSun" w:eastAsia="SimSun" w:hAnsi="SimSun" w:cs="SimSun"/>
          <w:sz w:val="21"/>
          <w:szCs w:val="21"/>
        </w:rPr>
        <w:t>③彰显中国坚持以互利合作实现与东盟的共同繁荣</w:t>
      </w:r>
    </w:p>
    <w:p>
      <w:pPr>
        <w:widowControl w:val="0"/>
        <w:spacing w:before="0" w:after="0" w:line="360" w:lineRule="auto"/>
        <w:rPr>
          <w:sz w:val="21"/>
          <w:szCs w:val="21"/>
        </w:rPr>
      </w:pPr>
      <w:r>
        <w:rPr>
          <w:rFonts w:ascii="SimSun" w:eastAsia="SimSun" w:hAnsi="SimSun" w:cs="SimSun"/>
          <w:sz w:val="21"/>
          <w:szCs w:val="21"/>
        </w:rPr>
        <w:t>④表明中国坚定支持东盟在国际事务中发挥更大作用</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B</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①③：东博会作为中国与东盟合作的重要平台，建立起两者之间政治、经贸、人文等合作交流渠道，将推动构建更为紧密的中国—东盟命运共同体，彰显中国坚持以互利合作实现与东盟的共同繁荣，①③正确。</w:t>
      </w:r>
    </w:p>
    <w:p>
      <w:pPr>
        <w:widowControl w:val="0"/>
        <w:spacing w:before="0" w:after="0" w:line="360" w:lineRule="auto"/>
        <w:rPr>
          <w:sz w:val="21"/>
          <w:szCs w:val="21"/>
        </w:rPr>
      </w:pPr>
      <w:r>
        <w:rPr>
          <w:rFonts w:ascii="SimSun" w:eastAsia="SimSun" w:hAnsi="SimSun" w:cs="SimSun"/>
          <w:sz w:val="21"/>
          <w:szCs w:val="21"/>
        </w:rPr>
        <w:t>②：材料强调中国与东盟的合作，未体现推进东盟区域合作和一体化建设，②排除。</w:t>
      </w:r>
    </w:p>
    <w:p>
      <w:pPr>
        <w:widowControl w:val="0"/>
        <w:spacing w:before="0" w:after="0" w:line="360" w:lineRule="auto"/>
        <w:rPr>
          <w:sz w:val="21"/>
          <w:szCs w:val="21"/>
        </w:rPr>
      </w:pPr>
      <w:r>
        <w:rPr>
          <w:rFonts w:ascii="SimSun" w:eastAsia="SimSun" w:hAnsi="SimSun" w:cs="SimSun"/>
          <w:sz w:val="21"/>
          <w:szCs w:val="21"/>
        </w:rPr>
        <w:t>④：材料表明中国与东盟的合作能为亚太乃至世界带来更多发展机遇与福祉，未体现中国坚定支持东盟在国际事务中发挥更大作用，④排除。</w:t>
      </w:r>
    </w:p>
    <w:p>
      <w:pPr>
        <w:widowControl w:val="0"/>
        <w:spacing w:before="0" w:after="0" w:line="360" w:lineRule="auto"/>
        <w:rPr>
          <w:sz w:val="21"/>
          <w:szCs w:val="21"/>
        </w:rPr>
      </w:pPr>
      <w:r>
        <w:rPr>
          <w:rFonts w:ascii="SimSun" w:eastAsia="SimSun" w:hAnsi="SimSun" w:cs="SimSun"/>
          <w:sz w:val="21"/>
          <w:szCs w:val="21"/>
        </w:rPr>
        <w:t>故本题选B。</w:t>
      </w:r>
    </w:p>
    <w:p>
      <w:pPr>
        <w:widowControl w:val="0"/>
        <w:spacing w:before="0" w:after="0" w:line="360" w:lineRule="auto"/>
        <w:rPr>
          <w:sz w:val="21"/>
          <w:szCs w:val="21"/>
        </w:rPr>
      </w:pPr>
      <w:r>
        <w:rPr>
          <w:sz w:val="21"/>
          <w:szCs w:val="21"/>
        </w:rPr>
        <w:t xml:space="preserve">15. </w:t>
      </w:r>
      <w:r>
        <w:rPr>
          <w:rFonts w:ascii="SimSun" w:eastAsia="SimSun" w:hAnsi="SimSun" w:cs="SimSun"/>
          <w:sz w:val="21"/>
          <w:szCs w:val="21"/>
        </w:rPr>
        <w:t>老朱在革命战争年代荣获多枚勋章，数十年来悉心保护，视若珍宝。某私人博物馆负责人赵某将这些勋章借去展览，期间不慎丢失。赵某仅同意赔偿几百元，老朱遂将赵某诉至法院，要求其支付精神损害抚慰金若干，得到法院支持。对上述材料下列解读正确的是（</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①老朱人身权益受损并造成严重精神损害，法院支持老朱的诉求</w:t>
      </w:r>
    </w:p>
    <w:p>
      <w:pPr>
        <w:widowControl w:val="0"/>
        <w:spacing w:before="0" w:after="0" w:line="360" w:lineRule="auto"/>
        <w:rPr>
          <w:sz w:val="21"/>
          <w:szCs w:val="21"/>
        </w:rPr>
      </w:pPr>
      <w:r>
        <w:rPr>
          <w:rFonts w:ascii="SimSun" w:eastAsia="SimSun" w:hAnsi="SimSun" w:cs="SimSun"/>
          <w:sz w:val="21"/>
          <w:szCs w:val="21"/>
        </w:rPr>
        <w:t>②民法基本原则只是民事主体从事民事活动，应遵循的基本准则</w:t>
      </w:r>
    </w:p>
    <w:p>
      <w:pPr>
        <w:widowControl w:val="0"/>
        <w:spacing w:before="0" w:after="0" w:line="360" w:lineRule="auto"/>
        <w:rPr>
          <w:sz w:val="21"/>
          <w:szCs w:val="21"/>
        </w:rPr>
      </w:pPr>
      <w:r>
        <w:rPr>
          <w:rFonts w:ascii="SimSun" w:eastAsia="SimSun" w:hAnsi="SimSun" w:cs="SimSun"/>
          <w:sz w:val="21"/>
          <w:szCs w:val="21"/>
        </w:rPr>
        <w:t>③赵某因管理不善应承担法律责任，说明民事权利与义务相统一</w:t>
      </w:r>
    </w:p>
    <w:p>
      <w:pPr>
        <w:widowControl w:val="0"/>
        <w:spacing w:before="0" w:after="0" w:line="360" w:lineRule="auto"/>
        <w:rPr>
          <w:sz w:val="21"/>
          <w:szCs w:val="21"/>
        </w:rPr>
      </w:pPr>
      <w:r>
        <w:rPr>
          <w:rFonts w:ascii="SimSun" w:eastAsia="SimSun" w:hAnsi="SimSun" w:cs="SimSun"/>
          <w:sz w:val="21"/>
          <w:szCs w:val="21"/>
        </w:rPr>
        <w:t>④勋章是具有人身意义的特定物品，老朱有权请求精神损害赔偿</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①②</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②④</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③④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D</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w:t>
      </w:r>
      <w:r>
        <w:rPr>
          <w:rFonts w:ascii="Cambria Math" w:eastAsia="Cambria Math" w:hAnsi="Cambria Math" w:cs="Cambria Math"/>
          <w:sz w:val="21"/>
          <w:szCs w:val="21"/>
        </w:rPr>
        <w:t>③④</w:t>
      </w:r>
      <w:r>
        <w:rPr>
          <w:rFonts w:ascii="SimSun" w:eastAsia="SimSun" w:hAnsi="SimSun" w:cs="SimSun"/>
          <w:sz w:val="21"/>
          <w:szCs w:val="21"/>
        </w:rPr>
        <w:t>：老朱在革命战争年代荣获多枚勋章，数十年来悉心保护，视若珍宝。说明这些勋章已超过普通财物的范畴，是具有人身意义的特定物品，老朱有权请求精神损害赔偿，赵某因管理不善将老朱的荣</w:t>
      </w:r>
      <w:r>
        <w:rPr>
          <w:strike w:val="0"/>
          <w:sz w:val="21"/>
          <w:szCs w:val="21"/>
          <w:u w:val="none"/>
        </w:rPr>
        <w:drawing>
          <wp:inline>
            <wp:extent cx="28575" cy="28575"/>
            <wp:docPr id="100131" name=""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1"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rPr>
          <w:sz w:val="21"/>
          <w:szCs w:val="21"/>
        </w:rPr>
      </w:pPr>
      <w:r>
        <w:rPr>
          <w:rFonts w:ascii="SimSun" w:eastAsia="SimSun" w:hAnsi="SimSun" w:cs="SimSun"/>
          <w:sz w:val="21"/>
          <w:szCs w:val="21"/>
        </w:rPr>
        <w:t>获的勋章弄丢，应承担法律责任，这也说明民事权利与义务相统一，</w:t>
      </w:r>
      <w:r>
        <w:rPr>
          <w:rFonts w:ascii="Cambria Math" w:eastAsia="Cambria Math" w:hAnsi="Cambria Math" w:cs="Cambria Math"/>
          <w:sz w:val="21"/>
          <w:szCs w:val="21"/>
        </w:rPr>
        <w:t>③④</w:t>
      </w:r>
      <w:r>
        <w:rPr>
          <w:rFonts w:ascii="SimSun" w:eastAsia="SimSun" w:hAnsi="SimSun" w:cs="SimSun"/>
          <w:sz w:val="21"/>
          <w:szCs w:val="21"/>
        </w:rPr>
        <w:t>正确。</w:t>
      </w:r>
    </w:p>
    <w:p>
      <w:pPr>
        <w:widowControl w:val="0"/>
        <w:spacing w:before="0" w:after="0" w:line="360" w:lineRule="auto"/>
        <w:rPr>
          <w:sz w:val="21"/>
          <w:szCs w:val="21"/>
        </w:rPr>
      </w:pPr>
      <w:r>
        <w:rPr>
          <w:rFonts w:ascii="Cambria Math" w:eastAsia="Cambria Math" w:hAnsi="Cambria Math" w:cs="Cambria Math"/>
          <w:sz w:val="21"/>
          <w:szCs w:val="21"/>
        </w:rPr>
        <w:t>①</w:t>
      </w:r>
      <w:r>
        <w:rPr>
          <w:rFonts w:ascii="SimSun" w:eastAsia="SimSun" w:hAnsi="SimSun" w:cs="SimSun"/>
          <w:sz w:val="21"/>
          <w:szCs w:val="21"/>
        </w:rPr>
        <w:t>：材料中赵某将老朱的荣获的勋章弄丢，侵犯了其财产权，而不是人身权益受损，</w:t>
      </w:r>
      <w:r>
        <w:rPr>
          <w:rFonts w:ascii="Cambria Math" w:eastAsia="Cambria Math" w:hAnsi="Cambria Math" w:cs="Cambria Math"/>
          <w:sz w:val="21"/>
          <w:szCs w:val="21"/>
        </w:rPr>
        <w:t>①</w:t>
      </w:r>
      <w:r>
        <w:rPr>
          <w:rFonts w:ascii="SimSun" w:eastAsia="SimSun" w:hAnsi="SimSun" w:cs="SimSun"/>
          <w:sz w:val="21"/>
          <w:szCs w:val="21"/>
        </w:rPr>
        <w:t>错误。</w:t>
      </w:r>
    </w:p>
    <w:p>
      <w:pPr>
        <w:widowControl w:val="0"/>
        <w:spacing w:before="0" w:after="0" w:line="360" w:lineRule="auto"/>
        <w:rPr>
          <w:sz w:val="21"/>
          <w:szCs w:val="21"/>
        </w:rPr>
      </w:pPr>
      <w:r>
        <w:rPr>
          <w:rFonts w:ascii="Cambria Math" w:eastAsia="Cambria Math" w:hAnsi="Cambria Math" w:cs="Cambria Math"/>
          <w:sz w:val="21"/>
          <w:szCs w:val="21"/>
        </w:rPr>
        <w:t>②</w:t>
      </w:r>
      <w:r>
        <w:rPr>
          <w:rFonts w:ascii="SimSun" w:eastAsia="SimSun" w:hAnsi="SimSun" w:cs="SimSun"/>
          <w:sz w:val="21"/>
          <w:szCs w:val="21"/>
        </w:rPr>
        <w:t>：民法基本原则是民事主体从事民事活动和司法机关审理民事案件时应当遵循的基本准则，</w:t>
      </w:r>
      <w:r>
        <w:rPr>
          <w:rFonts w:ascii="Cambria Math" w:eastAsia="Cambria Math" w:hAnsi="Cambria Math" w:cs="Cambria Math"/>
          <w:sz w:val="21"/>
          <w:szCs w:val="21"/>
        </w:rPr>
        <w:t>②</w:t>
      </w:r>
      <w:r>
        <w:rPr>
          <w:rFonts w:ascii="SimSun" w:eastAsia="SimSun" w:hAnsi="SimSun" w:cs="SimSun"/>
          <w:sz w:val="21"/>
          <w:szCs w:val="21"/>
        </w:rPr>
        <w:t>错误。</w:t>
      </w:r>
    </w:p>
    <w:p>
      <w:pPr>
        <w:widowControl w:val="0"/>
        <w:spacing w:before="0" w:after="0" w:line="360" w:lineRule="auto"/>
        <w:rPr>
          <w:sz w:val="21"/>
          <w:szCs w:val="21"/>
        </w:rPr>
      </w:pPr>
      <w:r>
        <w:rPr>
          <w:rFonts w:ascii="SimSun" w:eastAsia="SimSun" w:hAnsi="SimSun" w:cs="SimSun"/>
          <w:sz w:val="21"/>
          <w:szCs w:val="21"/>
        </w:rPr>
        <w:t>故本题选</w:t>
      </w:r>
      <w:r>
        <w:rPr>
          <w:sz w:val="21"/>
          <w:szCs w:val="21"/>
        </w:rPr>
        <w:t>D</w:t>
      </w:r>
      <w:r>
        <w:rPr>
          <w:rFonts w:ascii="SimSun" w:eastAsia="SimSun" w:hAnsi="SimSun" w:cs="SimSun"/>
          <w:sz w:val="21"/>
          <w:szCs w:val="21"/>
        </w:rPr>
        <w:t>。</w:t>
      </w:r>
    </w:p>
    <w:p>
      <w:pPr>
        <w:widowControl w:val="0"/>
        <w:spacing w:before="0" w:after="0" w:line="360" w:lineRule="auto"/>
        <w:rPr>
          <w:sz w:val="21"/>
          <w:szCs w:val="21"/>
        </w:rPr>
      </w:pPr>
      <w:r>
        <w:rPr>
          <w:sz w:val="21"/>
          <w:szCs w:val="21"/>
        </w:rPr>
        <w:t xml:space="preserve">16. </w:t>
      </w:r>
      <w:r>
        <w:rPr>
          <w:rFonts w:ascii="SimSun" w:eastAsia="SimSun" w:hAnsi="SimSun" w:cs="SimSun"/>
          <w:sz w:val="21"/>
          <w:szCs w:val="21"/>
        </w:rPr>
        <w:t>某地社区一日用百货商行的经营者，因在其经营场所内售卖假冒本地知名品牌的酱油和醋，被该品牌公司诉至法院，要求停止侵权并赔偿损失。该案件启示经营者（</w:t>
      </w:r>
      <w:r>
        <w:rPr>
          <w:rFonts w:ascii="SimSun" w:eastAsia="SimSun" w:hAnsi="SimSun" w:cs="SimSun"/>
          <w:sz w:val="21"/>
          <w:szCs w:val="21"/>
        </w:rPr>
        <w:t xml:space="preserve">   </w:t>
      </w:r>
      <w:r>
        <w:rPr>
          <w:rFonts w:ascii="SimSun" w:eastAsia="SimSun" w:hAnsi="SimSun" w:cs="SimSun"/>
          <w:sz w:val="21"/>
          <w:szCs w:val="21"/>
        </w:rPr>
        <w:t>）</w:t>
      </w:r>
    </w:p>
    <w:p>
      <w:pPr>
        <w:widowControl w:val="0"/>
        <w:spacing w:before="0" w:after="0" w:line="360" w:lineRule="auto"/>
        <w:rPr>
          <w:sz w:val="21"/>
          <w:szCs w:val="21"/>
        </w:rPr>
      </w:pPr>
      <w:r>
        <w:rPr>
          <w:rFonts w:ascii="SimSun" w:eastAsia="SimSun" w:hAnsi="SimSun" w:cs="SimSun"/>
          <w:sz w:val="21"/>
          <w:szCs w:val="21"/>
        </w:rPr>
        <w:t>①应该保障消费者自主选择权和安全消费权</w:t>
      </w:r>
    </w:p>
    <w:p>
      <w:pPr>
        <w:widowControl w:val="0"/>
        <w:spacing w:before="0" w:after="0" w:line="360" w:lineRule="auto"/>
        <w:rPr>
          <w:sz w:val="21"/>
          <w:szCs w:val="21"/>
        </w:rPr>
      </w:pPr>
      <w:r>
        <w:rPr>
          <w:rFonts w:ascii="SimSun" w:eastAsia="SimSun" w:hAnsi="SimSun" w:cs="SimSun"/>
          <w:sz w:val="21"/>
          <w:szCs w:val="21"/>
        </w:rPr>
        <w:t>②应当遵守市场公平竞争和依法经营的规则</w:t>
      </w:r>
    </w:p>
    <w:p>
      <w:pPr>
        <w:widowControl w:val="0"/>
        <w:spacing w:before="0" w:after="0" w:line="360" w:lineRule="auto"/>
        <w:rPr>
          <w:sz w:val="21"/>
          <w:szCs w:val="21"/>
        </w:rPr>
      </w:pPr>
      <w:r>
        <w:rPr>
          <w:rFonts w:ascii="SimSun" w:eastAsia="SimSun" w:hAnsi="SimSun" w:cs="SimSun"/>
          <w:sz w:val="21"/>
          <w:szCs w:val="21"/>
        </w:rPr>
        <w:t>③不能对所经营商品质量等作虚假商业宣传</w:t>
      </w:r>
    </w:p>
    <w:p>
      <w:pPr>
        <w:widowControl w:val="0"/>
        <w:spacing w:before="0" w:after="0" w:line="360" w:lineRule="auto"/>
        <w:rPr>
          <w:sz w:val="21"/>
          <w:szCs w:val="21"/>
        </w:rPr>
      </w:pPr>
      <w:r>
        <w:rPr>
          <w:rFonts w:ascii="SimSun" w:eastAsia="SimSun" w:hAnsi="SimSun" w:cs="SimSun"/>
          <w:sz w:val="21"/>
          <w:szCs w:val="21"/>
        </w:rPr>
        <w:t>④要自觉维护消费者和其他经营者合法权益</w:t>
      </w:r>
    </w:p>
    <w:p>
      <w:pPr>
        <w:widowControl w:val="0"/>
        <w:tabs>
          <w:tab w:val="left" w:pos="2436"/>
          <w:tab w:val="left" w:pos="4873"/>
          <w:tab w:val="left" w:pos="7309"/>
        </w:tabs>
        <w:spacing w:before="0" w:after="0" w:line="360" w:lineRule="auto"/>
        <w:rPr>
          <w:rFonts w:ascii="Times New Roman" w:eastAsia="Times New Roman" w:hAnsi="Times New Roman" w:cs="Times New Roman"/>
          <w:sz w:val="21"/>
          <w:szCs w:val="21"/>
        </w:rPr>
      </w:pPr>
      <w:r>
        <w:rPr>
          <w:sz w:val="21"/>
          <w:szCs w:val="21"/>
        </w:rPr>
        <w:t xml:space="preserve">A. </w:t>
      </w:r>
      <w:r>
        <w:rPr>
          <w:rFonts w:ascii="SimSun" w:eastAsia="SimSun" w:hAnsi="SimSun" w:cs="SimSun"/>
          <w:sz w:val="21"/>
          <w:szCs w:val="21"/>
        </w:rPr>
        <w:t>①③</w:t>
      </w:r>
      <w:r>
        <w:rPr>
          <w:rFonts w:ascii="Times New Roman" w:eastAsia="Times New Roman" w:hAnsi="Times New Roman" w:cs="Times New Roman"/>
          <w:sz w:val="21"/>
          <w:szCs w:val="21"/>
        </w:rPr>
        <w:tab/>
      </w:r>
      <w:r>
        <w:rPr>
          <w:sz w:val="21"/>
          <w:szCs w:val="21"/>
        </w:rPr>
        <w:t xml:space="preserve">B. </w:t>
      </w:r>
      <w:r>
        <w:rPr>
          <w:rFonts w:ascii="SimSun" w:eastAsia="SimSun" w:hAnsi="SimSun" w:cs="SimSun"/>
          <w:sz w:val="21"/>
          <w:szCs w:val="21"/>
        </w:rPr>
        <w:t>①④</w:t>
      </w:r>
      <w:r>
        <w:rPr>
          <w:rFonts w:ascii="Times New Roman" w:eastAsia="Times New Roman" w:hAnsi="Times New Roman" w:cs="Times New Roman"/>
          <w:sz w:val="21"/>
          <w:szCs w:val="21"/>
        </w:rPr>
        <w:tab/>
      </w:r>
      <w:r>
        <w:rPr>
          <w:sz w:val="21"/>
          <w:szCs w:val="21"/>
        </w:rPr>
        <w:t xml:space="preserve">C. </w:t>
      </w:r>
      <w:r>
        <w:rPr>
          <w:rFonts w:ascii="SimSun" w:eastAsia="SimSun" w:hAnsi="SimSun" w:cs="SimSun"/>
          <w:sz w:val="21"/>
          <w:szCs w:val="21"/>
        </w:rPr>
        <w:t>②③</w:t>
      </w:r>
      <w:r>
        <w:rPr>
          <w:rFonts w:ascii="Times New Roman" w:eastAsia="Times New Roman" w:hAnsi="Times New Roman" w:cs="Times New Roman"/>
          <w:sz w:val="21"/>
          <w:szCs w:val="21"/>
        </w:rPr>
        <w:tab/>
      </w:r>
      <w:r>
        <w:rPr>
          <w:sz w:val="21"/>
          <w:szCs w:val="21"/>
        </w:rPr>
        <w:t xml:space="preserve">D. </w:t>
      </w:r>
      <w:r>
        <w:rPr>
          <w:rFonts w:ascii="SimSun" w:eastAsia="SimSun" w:hAnsi="SimSun" w:cs="SimSun"/>
          <w:sz w:val="21"/>
          <w:szCs w:val="21"/>
        </w:rPr>
        <w:t>②④</w:t>
      </w:r>
    </w:p>
    <w:p>
      <w:pPr>
        <w:widowControl w:val="0"/>
        <w:spacing w:before="0" w:after="0" w:line="360" w:lineRule="auto"/>
        <w:jc w:val="both"/>
        <w:rPr>
          <w:sz w:val="21"/>
          <w:szCs w:val="21"/>
        </w:rPr>
      </w:pPr>
      <w:r>
        <w:rPr>
          <w:rFonts w:ascii="SimSun" w:eastAsia="SimSun" w:hAnsi="SimSun" w:cs="SimSun"/>
          <w:color w:val="2E75B6"/>
          <w:sz w:val="21"/>
          <w:szCs w:val="21"/>
        </w:rPr>
        <w:t>【答案】</w:t>
      </w:r>
      <w:r>
        <w:rPr>
          <w:sz w:val="21"/>
          <w:szCs w:val="21"/>
        </w:rPr>
        <w:t>D</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【详解】</w:t>
      </w:r>
      <w:r>
        <w:rPr>
          <w:rFonts w:ascii="Cambria Math" w:eastAsia="Cambria Math" w:hAnsi="Cambria Math" w:cs="Cambria Math"/>
          <w:sz w:val="21"/>
          <w:szCs w:val="21"/>
        </w:rPr>
        <w:t>①③</w:t>
      </w:r>
      <w:r>
        <w:rPr>
          <w:rFonts w:ascii="SimSun" w:eastAsia="SimSun" w:hAnsi="SimSun" w:cs="SimSun"/>
          <w:sz w:val="21"/>
          <w:szCs w:val="21"/>
        </w:rPr>
        <w:t>：材料体现的是售卖假冒产品，没有涉及生产经营者虚假宣传，也没有涉及侵犯消费者的自主选择权，</w:t>
      </w:r>
      <w:r>
        <w:rPr>
          <w:rFonts w:ascii="Cambria Math" w:eastAsia="Cambria Math" w:hAnsi="Cambria Math" w:cs="Cambria Math"/>
          <w:sz w:val="21"/>
          <w:szCs w:val="21"/>
        </w:rPr>
        <w:t>①③</w:t>
      </w:r>
      <w:r>
        <w:rPr>
          <w:rFonts w:ascii="SimSun" w:eastAsia="SimSun" w:hAnsi="SimSun" w:cs="SimSun"/>
          <w:sz w:val="21"/>
          <w:szCs w:val="21"/>
        </w:rPr>
        <w:t>不符合题意。</w:t>
      </w:r>
    </w:p>
    <w:p>
      <w:pPr>
        <w:widowControl w:val="0"/>
        <w:spacing w:before="0" w:after="0" w:line="360" w:lineRule="auto"/>
        <w:rPr>
          <w:sz w:val="21"/>
          <w:szCs w:val="21"/>
        </w:rPr>
      </w:pPr>
      <w:r>
        <w:rPr>
          <w:rFonts w:ascii="Cambria Math" w:eastAsia="Cambria Math" w:hAnsi="Cambria Math" w:cs="Cambria Math"/>
          <w:sz w:val="21"/>
          <w:szCs w:val="21"/>
        </w:rPr>
        <w:t>②④</w:t>
      </w:r>
      <w:r>
        <w:rPr>
          <w:rFonts w:ascii="SimSun" w:eastAsia="SimSun" w:hAnsi="SimSun" w:cs="SimSun"/>
          <w:sz w:val="21"/>
          <w:szCs w:val="21"/>
        </w:rPr>
        <w:t>：材料中经营者在其经营场所内售卖假冒本地知名品牌的酱油和醋的行为属于不正当竞争行为，侵犯了消费者的权益，这启示生产经营者要坚持公平竞争、诚信经营，要自觉维护消费者和其他经营者合法权益，</w:t>
      </w:r>
      <w:r>
        <w:rPr>
          <w:rFonts w:ascii="Cambria Math" w:eastAsia="Cambria Math" w:hAnsi="Cambria Math" w:cs="Cambria Math"/>
          <w:sz w:val="21"/>
          <w:szCs w:val="21"/>
        </w:rPr>
        <w:t>②④</w:t>
      </w:r>
      <w:r>
        <w:rPr>
          <w:rFonts w:ascii="SimSun" w:eastAsia="SimSun" w:hAnsi="SimSun" w:cs="SimSun"/>
          <w:sz w:val="21"/>
          <w:szCs w:val="21"/>
        </w:rPr>
        <w:t>符合题意。</w:t>
      </w:r>
    </w:p>
    <w:p>
      <w:pPr>
        <w:widowControl w:val="0"/>
        <w:spacing w:before="0" w:after="0" w:line="360" w:lineRule="auto"/>
        <w:rPr>
          <w:sz w:val="21"/>
          <w:szCs w:val="21"/>
        </w:rPr>
      </w:pPr>
      <w:r>
        <w:rPr>
          <w:rFonts w:ascii="SimSun" w:eastAsia="SimSun" w:hAnsi="SimSun" w:cs="SimSun"/>
          <w:sz w:val="21"/>
          <w:szCs w:val="21"/>
        </w:rPr>
        <w:t>故本题选</w:t>
      </w:r>
      <w:r>
        <w:rPr>
          <w:sz w:val="21"/>
          <w:szCs w:val="21"/>
        </w:rPr>
        <w:t>D</w:t>
      </w:r>
      <w:r>
        <w:rPr>
          <w:rFonts w:ascii="SimSun" w:eastAsia="SimSun" w:hAnsi="SimSun" w:cs="SimSun"/>
          <w:sz w:val="21"/>
          <w:szCs w:val="21"/>
        </w:rPr>
        <w:t>。</w:t>
      </w:r>
    </w:p>
    <w:p>
      <w:pPr>
        <w:widowControl w:val="0"/>
        <w:spacing w:before="0" w:after="0" w:line="360" w:lineRule="auto"/>
        <w:jc w:val="both"/>
      </w:pPr>
      <w:r>
        <w:rPr>
          <w:rFonts w:ascii="SimSun" w:eastAsia="SimSun" w:hAnsi="SimSun" w:cs="SimSun"/>
          <w:b/>
          <w:bCs/>
        </w:rPr>
        <w:t>二、非选择题：本题共4小题，共52分。</w:t>
      </w:r>
    </w:p>
    <w:p>
      <w:pPr>
        <w:widowControl w:val="0"/>
        <w:spacing w:before="0" w:after="0" w:line="360" w:lineRule="auto"/>
        <w:rPr>
          <w:sz w:val="21"/>
          <w:szCs w:val="21"/>
        </w:rPr>
      </w:pPr>
      <w:r>
        <w:rPr>
          <w:sz w:val="21"/>
          <w:szCs w:val="21"/>
        </w:rPr>
        <w:t xml:space="preserve">17. </w:t>
      </w:r>
      <w:r>
        <w:rPr>
          <w:rFonts w:ascii="SimSun" w:eastAsia="SimSun" w:hAnsi="SimSun" w:cs="SimSun"/>
          <w:sz w:val="21"/>
          <w:szCs w:val="21"/>
        </w:rPr>
        <w:t>阅读材料，完成下列要求。</w:t>
      </w:r>
    </w:p>
    <w:p>
      <w:pPr>
        <w:widowControl w:val="0"/>
        <w:spacing w:before="0" w:after="0" w:line="360" w:lineRule="auto"/>
        <w:ind w:firstLine="420"/>
        <w:jc w:val="both"/>
        <w:rPr>
          <w:sz w:val="21"/>
          <w:szCs w:val="21"/>
        </w:rPr>
      </w:pPr>
      <w:r>
        <w:rPr>
          <w:rFonts w:ascii="KaiTi" w:eastAsia="KaiTi" w:hAnsi="KaiTi" w:cs="KaiTi"/>
          <w:sz w:val="21"/>
          <w:szCs w:val="21"/>
        </w:rPr>
        <w:t>材料一</w:t>
      </w:r>
      <w:r>
        <w:rPr>
          <w:rFonts w:ascii="KaiTi" w:eastAsia="KaiTi" w:hAnsi="KaiTi" w:cs="KaiTi"/>
          <w:sz w:val="21"/>
          <w:szCs w:val="21"/>
        </w:rPr>
        <w:t xml:space="preserve">  </w:t>
      </w:r>
      <w:r>
        <w:rPr>
          <w:rFonts w:ascii="KaiTi" w:eastAsia="KaiTi" w:hAnsi="KaiTi" w:cs="KaiTi"/>
          <w:sz w:val="21"/>
          <w:szCs w:val="21"/>
        </w:rPr>
        <w:t>2024年1—8月湖南经济运行总体平稳、稳中有进。下图为2024年1—8月，湖南全省规模工业增加值等的同比增长情况。</w:t>
      </w:r>
    </w:p>
    <w:p>
      <w:pPr>
        <w:widowControl w:val="0"/>
        <w:spacing w:before="0" w:after="0" w:line="360" w:lineRule="auto"/>
        <w:rPr>
          <w:sz w:val="21"/>
          <w:szCs w:val="21"/>
        </w:rPr>
      </w:pPr>
      <w:r>
        <w:rPr>
          <w:strike w:val="0"/>
          <w:sz w:val="21"/>
          <w:szCs w:val="21"/>
          <w:u w:val="none"/>
        </w:rPr>
        <w:drawing>
          <wp:inline>
            <wp:extent cx="5238750" cy="1771650"/>
            <wp:docPr id="10014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5" name=""/>
                    <pic:cNvPicPr>
                      <a:picLocks noChangeAspect="1"/>
                    </pic:cNvPicPr>
                  </pic:nvPicPr>
                  <pic:blipFill>
                    <a:blip xmlns:r="http://schemas.openxmlformats.org/officeDocument/2006/relationships" r:embed="rId17"/>
                    <a:stretch>
                      <a:fillRect/>
                    </a:stretch>
                  </pic:blipFill>
                  <pic:spPr>
                    <a:xfrm>
                      <a:off x="0" y="0"/>
                      <a:ext cx="5238750" cy="1771650"/>
                    </a:xfrm>
                    <a:prstGeom prst="rect">
                      <a:avLst/>
                    </a:prstGeom>
                  </pic:spPr>
                </pic:pic>
              </a:graphicData>
            </a:graphic>
          </wp:inline>
        </w:drawing>
      </w:r>
    </w:p>
    <w:p>
      <w:pPr>
        <w:widowControl w:val="0"/>
        <w:spacing w:before="0" w:after="0" w:line="360" w:lineRule="auto"/>
        <w:ind w:firstLine="420"/>
        <w:jc w:val="both"/>
        <w:rPr>
          <w:sz w:val="21"/>
          <w:szCs w:val="21"/>
        </w:rPr>
      </w:pPr>
      <w:r>
        <w:rPr>
          <w:rFonts w:ascii="KaiTi" w:eastAsia="KaiTi" w:hAnsi="KaiTi" w:cs="KaiTi"/>
          <w:sz w:val="21"/>
          <w:szCs w:val="21"/>
        </w:rPr>
        <w:t>湖南经济平稳运行，与湖南启动重点产业新增长极计划有关。从减税降费到资金补助，从人才引进到</w:t>
      </w:r>
      <w:r>
        <w:rPr>
          <w:strike w:val="0"/>
          <w:sz w:val="21"/>
          <w:szCs w:val="21"/>
          <w:u w:val="none"/>
        </w:rPr>
        <w:drawing>
          <wp:inline>
            <wp:extent cx="28575" cy="28575"/>
            <wp:docPr id="100147" name=""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7"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jc w:val="both"/>
        <w:rPr>
          <w:sz w:val="21"/>
          <w:szCs w:val="21"/>
        </w:rPr>
      </w:pPr>
      <w:r>
        <w:rPr>
          <w:rFonts w:ascii="KaiTi" w:eastAsia="KaiTi" w:hAnsi="KaiTi" w:cs="KaiTi"/>
          <w:sz w:val="21"/>
          <w:szCs w:val="21"/>
        </w:rPr>
        <w:t>创新平台建设，湖南省政府为企业的快速发展提供坚实保障。中车株洲电力机车研究所有限公司是中国轨道交通装备领域的重要研发基地，为顺应“双碳”时代背景，公司聚焦电能转换控制，打通了覆盖新型电力系统“源网荷储”的全技术链和产业链，涌现新的经济增长点——清洁能源产业集群。</w:t>
      </w:r>
    </w:p>
    <w:p>
      <w:pPr>
        <w:widowControl w:val="0"/>
        <w:spacing w:before="0" w:after="0" w:line="360" w:lineRule="auto"/>
        <w:ind w:firstLine="420"/>
        <w:jc w:val="both"/>
        <w:rPr>
          <w:sz w:val="21"/>
          <w:szCs w:val="21"/>
        </w:rPr>
      </w:pPr>
      <w:r>
        <w:rPr>
          <w:rFonts w:ascii="KaiTi" w:eastAsia="KaiTi" w:hAnsi="KaiTi" w:cs="KaiTi"/>
          <w:sz w:val="21"/>
          <w:szCs w:val="21"/>
        </w:rPr>
        <w:t>材料二</w:t>
      </w:r>
      <w:r>
        <w:rPr>
          <w:rFonts w:ascii="KaiTi" w:eastAsia="KaiTi" w:hAnsi="KaiTi" w:cs="KaiTi"/>
          <w:sz w:val="21"/>
          <w:szCs w:val="21"/>
        </w:rPr>
        <w:t xml:space="preserve">  </w:t>
      </w:r>
      <w:r>
        <w:rPr>
          <w:rFonts w:ascii="KaiTi" w:eastAsia="KaiTi" w:hAnsi="KaiTi" w:cs="KaiTi"/>
          <w:sz w:val="21"/>
          <w:szCs w:val="21"/>
        </w:rPr>
        <w:t>法治是湖南经济社会高质量发展的重要保障。湖南省委制定了《省委领导地方立法工作规程（试行）》，为地方立法工作提供了根本遵循。省人大在立法项目选定上，坚持民有所呼、法有所应；深入基层、深入群众，广泛听取意见和建议；对省人大代表进行专业分组，从立项、起草、调研、论证、修改、审议、评估等全流程有针对性地吸收人大代表参与，不断扩大人大代表参与立法工作深度广度。</w:t>
      </w:r>
    </w:p>
    <w:p>
      <w:pPr>
        <w:widowControl w:val="0"/>
        <w:spacing w:before="0" w:after="0" w:line="360" w:lineRule="auto"/>
        <w:rPr>
          <w:sz w:val="21"/>
          <w:szCs w:val="21"/>
        </w:rPr>
      </w:pPr>
      <w:r>
        <w:rPr>
          <w:rFonts w:ascii="SimSun" w:eastAsia="SimSun" w:hAnsi="SimSun" w:cs="SimSun"/>
          <w:sz w:val="21"/>
          <w:szCs w:val="21"/>
        </w:rPr>
        <w:t>（</w:t>
      </w:r>
      <w:r>
        <w:rPr>
          <w:sz w:val="21"/>
          <w:szCs w:val="21"/>
        </w:rPr>
        <w:t>1</w:t>
      </w:r>
      <w:r>
        <w:rPr>
          <w:rFonts w:ascii="SimSun" w:eastAsia="SimSun" w:hAnsi="SimSun" w:cs="SimSun"/>
          <w:sz w:val="21"/>
          <w:szCs w:val="21"/>
        </w:rPr>
        <w:t>）解读材料一的图表信息。</w:t>
      </w:r>
    </w:p>
    <w:p>
      <w:pPr>
        <w:widowControl w:val="0"/>
        <w:spacing w:before="0" w:after="0" w:line="360" w:lineRule="auto"/>
        <w:rPr>
          <w:sz w:val="21"/>
          <w:szCs w:val="21"/>
        </w:rPr>
      </w:pPr>
      <w:r>
        <w:rPr>
          <w:rFonts w:ascii="SimSun" w:eastAsia="SimSun" w:hAnsi="SimSun" w:cs="SimSun"/>
          <w:sz w:val="21"/>
          <w:szCs w:val="21"/>
        </w:rPr>
        <w:t>（</w:t>
      </w:r>
      <w:r>
        <w:rPr>
          <w:sz w:val="21"/>
          <w:szCs w:val="21"/>
        </w:rPr>
        <w:t>2</w:t>
      </w:r>
      <w:r>
        <w:rPr>
          <w:rFonts w:ascii="SimSun" w:eastAsia="SimSun" w:hAnsi="SimSun" w:cs="SimSun"/>
          <w:sz w:val="21"/>
          <w:szCs w:val="21"/>
        </w:rPr>
        <w:t>）结合材料一，运用《经济与社会》的知识，阐释湖南成功培育重点产业新增长极的原因。</w:t>
      </w:r>
    </w:p>
    <w:p>
      <w:pPr>
        <w:widowControl w:val="0"/>
        <w:spacing w:before="0" w:after="0" w:line="360" w:lineRule="auto"/>
        <w:rPr>
          <w:sz w:val="21"/>
          <w:szCs w:val="21"/>
        </w:rPr>
      </w:pPr>
      <w:r>
        <w:rPr>
          <w:rFonts w:ascii="SimSun" w:eastAsia="SimSun" w:hAnsi="SimSun" w:cs="SimSun"/>
          <w:sz w:val="21"/>
          <w:szCs w:val="21"/>
        </w:rPr>
        <w:t>（</w:t>
      </w:r>
      <w:r>
        <w:rPr>
          <w:sz w:val="21"/>
          <w:szCs w:val="21"/>
        </w:rPr>
        <w:t>3</w:t>
      </w:r>
      <w:r>
        <w:rPr>
          <w:rFonts w:ascii="SimSun" w:eastAsia="SimSun" w:hAnsi="SimSun" w:cs="SimSun"/>
          <w:sz w:val="21"/>
          <w:szCs w:val="21"/>
        </w:rPr>
        <w:t>）结合材料二，运用《政治与法治》的知识，说明湖南是如何为经济社会高质量发展提供法治保障的。</w:t>
      </w:r>
    </w:p>
    <w:p>
      <w:pPr>
        <w:widowControl w:val="0"/>
        <w:spacing w:before="0" w:after="0" w:line="360" w:lineRule="auto"/>
        <w:jc w:val="both"/>
        <w:rPr>
          <w:sz w:val="21"/>
          <w:szCs w:val="21"/>
        </w:rPr>
      </w:pPr>
      <w:r>
        <w:rPr>
          <w:rFonts w:ascii="SimSun" w:eastAsia="SimSun" w:hAnsi="SimSun" w:cs="SimSun"/>
          <w:color w:val="2E75B6"/>
          <w:sz w:val="21"/>
          <w:szCs w:val="21"/>
        </w:rPr>
        <w:t>【答案】</w:t>
      </w:r>
      <w:r>
        <w:rPr>
          <w:rFonts w:ascii="SimSun" w:eastAsia="SimSun" w:hAnsi="SimSun" w:cs="SimSun"/>
          <w:sz w:val="21"/>
          <w:szCs w:val="21"/>
        </w:rPr>
        <w:t>（</w:t>
      </w:r>
      <w:r>
        <w:rPr>
          <w:sz w:val="21"/>
          <w:szCs w:val="21"/>
        </w:rPr>
        <w:t>1</w:t>
      </w:r>
      <w:r>
        <w:rPr>
          <w:rFonts w:ascii="SimSun" w:eastAsia="SimSun" w:hAnsi="SimSun" w:cs="SimSun"/>
          <w:sz w:val="21"/>
          <w:szCs w:val="21"/>
        </w:rPr>
        <w:t>）</w:t>
      </w:r>
      <w:r>
        <w:rPr>
          <w:sz w:val="21"/>
          <w:szCs w:val="21"/>
        </w:rPr>
        <w:t>2024</w:t>
      </w:r>
      <w:r>
        <w:rPr>
          <w:rFonts w:ascii="SimSun" w:eastAsia="SimSun" w:hAnsi="SimSun" w:cs="SimSun"/>
          <w:sz w:val="21"/>
          <w:szCs w:val="21"/>
        </w:rPr>
        <w:t>年</w:t>
      </w:r>
      <w:r>
        <w:rPr>
          <w:sz w:val="21"/>
          <w:szCs w:val="21"/>
        </w:rPr>
        <w:t>1-8</w:t>
      </w:r>
      <w:r>
        <w:rPr>
          <w:rFonts w:ascii="SimSun" w:eastAsia="SimSun" w:hAnsi="SimSun" w:cs="SimSun"/>
          <w:sz w:val="21"/>
          <w:szCs w:val="21"/>
        </w:rPr>
        <w:t>月湖南经济运行总体稳中有进，与工业增势良好密不可分。其中装备制造业增速亮眼，高技术制造业动能强劲，工业企业效益较好，支撑湖南经济的发展。</w:t>
      </w:r>
      <w:r>
        <w:rPr>
          <w:rFonts w:ascii="SimSun" w:eastAsia="SimSun" w:hAnsi="SimSun" w:cs="SimSun"/>
          <w:sz w:val="21"/>
          <w:szCs w:val="21"/>
        </w:rPr>
        <w:t xml:space="preserve">    </w:t>
      </w:r>
    </w:p>
    <w:p>
      <w:pPr>
        <w:widowControl w:val="0"/>
        <w:spacing w:before="0" w:after="0" w:line="360" w:lineRule="auto"/>
        <w:jc w:val="both"/>
        <w:rPr>
          <w:sz w:val="21"/>
          <w:szCs w:val="21"/>
        </w:rPr>
      </w:pPr>
      <w:r>
        <w:rPr>
          <w:rFonts w:ascii="SimSun" w:eastAsia="SimSun" w:hAnsi="SimSun" w:cs="SimSun"/>
          <w:sz w:val="21"/>
          <w:szCs w:val="21"/>
        </w:rPr>
        <w:t>（</w:t>
      </w:r>
      <w:r>
        <w:rPr>
          <w:sz w:val="21"/>
          <w:szCs w:val="21"/>
        </w:rPr>
        <w:t>2</w:t>
      </w:r>
      <w:r>
        <w:rPr>
          <w:rFonts w:ascii="SimSun" w:eastAsia="SimSun" w:hAnsi="SimSun" w:cs="SimSun"/>
          <w:sz w:val="21"/>
          <w:szCs w:val="21"/>
        </w:rPr>
        <w:t>）政府履行经济职能，为企业发展营造良好的市场环境。企业坚持绿色发展理念，自主科技创新赋能引领产业升级。</w:t>
      </w:r>
      <w:r>
        <w:rPr>
          <w:rFonts w:ascii="SimSun" w:eastAsia="SimSun" w:hAnsi="SimSun" w:cs="SimSun"/>
          <w:sz w:val="21"/>
          <w:szCs w:val="21"/>
        </w:rPr>
        <w:t xml:space="preserve">    </w:t>
      </w:r>
    </w:p>
    <w:p>
      <w:pPr>
        <w:widowControl w:val="0"/>
        <w:spacing w:before="0" w:after="0" w:line="360" w:lineRule="auto"/>
        <w:jc w:val="both"/>
        <w:rPr>
          <w:sz w:val="21"/>
          <w:szCs w:val="21"/>
        </w:rPr>
      </w:pPr>
      <w:r>
        <w:rPr>
          <w:rFonts w:ascii="SimSun" w:eastAsia="SimSun" w:hAnsi="SimSun" w:cs="SimSun"/>
          <w:sz w:val="21"/>
          <w:szCs w:val="21"/>
        </w:rPr>
        <w:t>（</w:t>
      </w:r>
      <w:r>
        <w:rPr>
          <w:sz w:val="21"/>
          <w:szCs w:val="21"/>
        </w:rPr>
        <w:t>3</w:t>
      </w:r>
      <w:r>
        <w:rPr>
          <w:rFonts w:ascii="SimSun" w:eastAsia="SimSun" w:hAnsi="SimSun" w:cs="SimSun"/>
          <w:sz w:val="21"/>
          <w:szCs w:val="21"/>
        </w:rPr>
        <w:t>）加强党的集中统一领导，支持人大依章程开展工作。省人大立法工作坚持人民主体地位，广泛凝聚社会共识。完善人大代表参与立法工作机制，更好发挥人大代表的作用。践行全过程人民民主，坚持民主立法，广开言路、集思广益。湖南坚持将党的领导、人民当家作主、依法治国有机统一。</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jc w:val="both"/>
        <w:rPr>
          <w:sz w:val="21"/>
          <w:szCs w:val="21"/>
        </w:rPr>
      </w:pPr>
      <w:r>
        <w:rPr>
          <w:rFonts w:ascii="SimSun" w:eastAsia="SimSun" w:hAnsi="SimSun" w:cs="SimSun"/>
          <w:sz w:val="21"/>
          <w:szCs w:val="21"/>
        </w:rPr>
        <w:t>【分析】背景素材：湖南经济高质量发展</w:t>
      </w:r>
      <w:r>
        <w:rPr>
          <w:rFonts w:ascii="SimSun" w:eastAsia="SimSun" w:hAnsi="SimSun" w:cs="SimSun"/>
          <w:sz w:val="21"/>
          <w:szCs w:val="21"/>
        </w:rPr>
        <w:t> </w:t>
      </w:r>
    </w:p>
    <w:p>
      <w:pPr>
        <w:widowControl w:val="0"/>
        <w:spacing w:before="0" w:after="0" w:line="360" w:lineRule="auto"/>
        <w:jc w:val="both"/>
        <w:rPr>
          <w:sz w:val="21"/>
          <w:szCs w:val="21"/>
        </w:rPr>
      </w:pPr>
      <w:r>
        <w:rPr>
          <w:rFonts w:ascii="SimSun" w:eastAsia="SimSun" w:hAnsi="SimSun" w:cs="SimSun"/>
          <w:sz w:val="21"/>
          <w:szCs w:val="21"/>
        </w:rPr>
        <w:t>考点考查：政府的经济职能、新发展理念、高质量发展、坚持党的领导、科学立法、人大代表</w:t>
      </w:r>
    </w:p>
    <w:p>
      <w:pPr>
        <w:widowControl w:val="0"/>
        <w:spacing w:before="0" w:after="0" w:line="360" w:lineRule="auto"/>
        <w:jc w:val="both"/>
        <w:rPr>
          <w:sz w:val="21"/>
          <w:szCs w:val="21"/>
        </w:rPr>
      </w:pPr>
      <w:r>
        <w:rPr>
          <w:rFonts w:ascii="SimSun" w:eastAsia="SimSun" w:hAnsi="SimSun" w:cs="SimSun"/>
          <w:sz w:val="21"/>
          <w:szCs w:val="21"/>
        </w:rPr>
        <w:t>能力考查：描述和阐释事物、论证和探究问题</w:t>
      </w:r>
    </w:p>
    <w:p>
      <w:pPr>
        <w:widowControl w:val="0"/>
        <w:spacing w:before="0" w:after="0" w:line="360" w:lineRule="auto"/>
        <w:rPr>
          <w:sz w:val="21"/>
          <w:szCs w:val="21"/>
        </w:rPr>
      </w:pPr>
      <w:r>
        <w:rPr>
          <w:rFonts w:ascii="SimSun" w:eastAsia="SimSun" w:hAnsi="SimSun" w:cs="SimSun"/>
          <w:sz w:val="21"/>
          <w:szCs w:val="21"/>
        </w:rPr>
        <w:t>核心素养：政治认同、科学精神、法治意识</w:t>
      </w:r>
    </w:p>
    <w:p>
      <w:pPr>
        <w:widowControl w:val="0"/>
        <w:spacing w:before="0" w:after="0" w:line="360" w:lineRule="auto"/>
        <w:rPr>
          <w:sz w:val="21"/>
          <w:szCs w:val="21"/>
        </w:rPr>
      </w:pPr>
      <w:r>
        <w:rPr>
          <w:rFonts w:ascii="SimSun" w:eastAsia="SimSun" w:hAnsi="SimSun" w:cs="SimSun"/>
          <w:sz w:val="21"/>
          <w:szCs w:val="21"/>
        </w:rPr>
        <w:t>【小问</w:t>
      </w:r>
      <w:r>
        <w:rPr>
          <w:sz w:val="21"/>
          <w:szCs w:val="21"/>
        </w:rPr>
        <w:t>1</w:t>
      </w:r>
      <w:r>
        <w:rPr>
          <w:rFonts w:ascii="SimSun" w:eastAsia="SimSun" w:hAnsi="SimSun" w:cs="SimSun"/>
          <w:sz w:val="21"/>
          <w:szCs w:val="21"/>
        </w:rPr>
        <w:t>详解】</w:t>
      </w:r>
    </w:p>
    <w:p>
      <w:pPr>
        <w:widowControl w:val="0"/>
        <w:spacing w:before="0" w:after="0" w:line="360" w:lineRule="auto"/>
        <w:jc w:val="both"/>
        <w:rPr>
          <w:sz w:val="21"/>
          <w:szCs w:val="21"/>
        </w:rPr>
      </w:pPr>
      <w:r>
        <w:rPr>
          <w:rFonts w:ascii="SimSun" w:eastAsia="SimSun" w:hAnsi="SimSun" w:cs="SimSun"/>
          <w:sz w:val="21"/>
          <w:szCs w:val="21"/>
        </w:rPr>
        <w:t>第一步：审设问。明确主体、知识范围、问题限定和作答角度。</w:t>
      </w:r>
    </w:p>
    <w:p>
      <w:pPr>
        <w:widowControl w:val="0"/>
        <w:spacing w:before="0" w:after="0" w:line="360" w:lineRule="auto"/>
        <w:rPr>
          <w:sz w:val="21"/>
          <w:szCs w:val="21"/>
        </w:rPr>
      </w:pPr>
      <w:r>
        <w:rPr>
          <w:rFonts w:ascii="SimSun" w:eastAsia="SimSun" w:hAnsi="SimSun" w:cs="SimSun"/>
          <w:sz w:val="21"/>
          <w:szCs w:val="21"/>
        </w:rPr>
        <w:t>本题为图表信息题，要求解读材料一的图表信息，从规模工业增长、经济增长等角度作答。</w:t>
      </w:r>
    </w:p>
    <w:p>
      <w:pPr>
        <w:widowControl w:val="0"/>
        <w:spacing w:before="0" w:after="0" w:line="360" w:lineRule="auto"/>
        <w:jc w:val="both"/>
        <w:rPr>
          <w:sz w:val="21"/>
          <w:szCs w:val="21"/>
        </w:rPr>
      </w:pPr>
      <w:r>
        <w:rPr>
          <w:rFonts w:ascii="SimSun" w:eastAsia="SimSun" w:hAnsi="SimSun" w:cs="SimSun"/>
          <w:sz w:val="21"/>
          <w:szCs w:val="21"/>
        </w:rPr>
        <w:t>第二步：审图表。审图表标题、图表数据和注释。</w:t>
      </w:r>
    </w:p>
    <w:p>
      <w:pPr>
        <w:widowControl w:val="0"/>
        <w:spacing w:before="0" w:after="0" w:line="360" w:lineRule="auto"/>
        <w:jc w:val="both"/>
        <w:rPr>
          <w:sz w:val="21"/>
          <w:szCs w:val="21"/>
        </w:rPr>
      </w:pPr>
      <w:r>
        <w:rPr>
          <w:rFonts w:ascii="SimSun" w:eastAsia="SimSun" w:hAnsi="SimSun" w:cs="SimSun"/>
          <w:sz w:val="21"/>
          <w:szCs w:val="21"/>
        </w:rPr>
        <w:t>图表反映的是2024年1—8月湖南全省规模工业增加值等的同比增长情况，从图表可知规模以上工业相关增长值都在增长，规模以上高技术制造业增加值同比增长明显。</w:t>
      </w:r>
    </w:p>
    <w:p>
      <w:pPr>
        <w:widowControl w:val="0"/>
        <w:spacing w:before="0" w:after="0" w:line="360" w:lineRule="auto"/>
        <w:jc w:val="both"/>
        <w:rPr>
          <w:sz w:val="21"/>
          <w:szCs w:val="21"/>
        </w:rPr>
      </w:pPr>
      <w:r>
        <w:rPr>
          <w:rFonts w:ascii="SimSun" w:eastAsia="SimSun" w:hAnsi="SimSun" w:cs="SimSun"/>
          <w:sz w:val="21"/>
          <w:szCs w:val="21"/>
        </w:rPr>
        <w:t>第三步：审材料。提取关键词，链接教材知识。</w:t>
      </w:r>
      <w:r>
        <w:rPr>
          <w:strike w:val="0"/>
          <w:sz w:val="21"/>
          <w:szCs w:val="21"/>
          <w:u w:val="none"/>
        </w:rPr>
        <w:drawing>
          <wp:inline>
            <wp:extent cx="28575" cy="28575"/>
            <wp:docPr id="100161" name=""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1"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jc w:val="both"/>
        <w:rPr>
          <w:sz w:val="21"/>
          <w:szCs w:val="21"/>
        </w:rPr>
      </w:pPr>
      <w:r>
        <w:rPr>
          <w:rFonts w:ascii="SimSun" w:eastAsia="SimSun" w:hAnsi="SimSun" w:cs="SimSun"/>
          <w:sz w:val="21"/>
          <w:szCs w:val="21"/>
        </w:rPr>
        <w:t>关键词①：规模工业增加值等同比都增长，高技术制造业增加值同比增长明显→可结合图表分析增长值的同比增长情况以及与湖南经济发展的联系。</w:t>
      </w:r>
    </w:p>
    <w:p>
      <w:pPr>
        <w:widowControl w:val="0"/>
        <w:spacing w:before="0" w:after="0" w:line="360" w:lineRule="auto"/>
        <w:rPr>
          <w:sz w:val="21"/>
          <w:szCs w:val="21"/>
        </w:rPr>
      </w:pPr>
      <w:r>
        <w:rPr>
          <w:rFonts w:ascii="SimSun" w:eastAsia="SimSun" w:hAnsi="SimSun" w:cs="SimSun"/>
          <w:sz w:val="21"/>
          <w:szCs w:val="21"/>
        </w:rPr>
        <w:t>第四步：整合信息，组织答案。注意设问限定、图表信息以及教材知识与材料、时政信息等相结合</w:t>
      </w:r>
    </w:p>
    <w:p>
      <w:pPr>
        <w:widowControl w:val="0"/>
        <w:spacing w:before="0" w:after="0" w:line="360" w:lineRule="auto"/>
        <w:rPr>
          <w:sz w:val="21"/>
          <w:szCs w:val="21"/>
        </w:rPr>
      </w:pPr>
      <w:r>
        <w:rPr>
          <w:rFonts w:ascii="SimSun" w:eastAsia="SimSun" w:hAnsi="SimSun" w:cs="SimSun"/>
          <w:sz w:val="21"/>
          <w:szCs w:val="21"/>
        </w:rPr>
        <w:t>【小问</w:t>
      </w:r>
      <w:r>
        <w:rPr>
          <w:sz w:val="21"/>
          <w:szCs w:val="21"/>
        </w:rPr>
        <w:t>2</w:t>
      </w:r>
      <w:r>
        <w:rPr>
          <w:rFonts w:ascii="SimSun" w:eastAsia="SimSun" w:hAnsi="SimSun" w:cs="SimSun"/>
          <w:sz w:val="21"/>
          <w:szCs w:val="21"/>
        </w:rPr>
        <w:t>详解】</w:t>
      </w:r>
    </w:p>
    <w:p>
      <w:pPr>
        <w:widowControl w:val="0"/>
        <w:spacing w:before="0" w:after="0" w:line="360" w:lineRule="auto"/>
        <w:jc w:val="both"/>
        <w:rPr>
          <w:sz w:val="21"/>
          <w:szCs w:val="21"/>
        </w:rPr>
      </w:pPr>
      <w:r>
        <w:rPr>
          <w:rFonts w:ascii="SimSun" w:eastAsia="SimSun" w:hAnsi="SimSun" w:cs="SimSun"/>
          <w:sz w:val="21"/>
          <w:szCs w:val="21"/>
        </w:rPr>
        <w:t>第一步：审设问。明确主体、知识范围、问题限定和作答角度。</w:t>
      </w:r>
    </w:p>
    <w:p>
      <w:pPr>
        <w:widowControl w:val="0"/>
        <w:spacing w:before="0" w:after="0" w:line="360" w:lineRule="auto"/>
        <w:jc w:val="both"/>
        <w:rPr>
          <w:sz w:val="21"/>
          <w:szCs w:val="21"/>
        </w:rPr>
      </w:pPr>
      <w:r>
        <w:rPr>
          <w:rFonts w:ascii="SimSun" w:eastAsia="SimSun" w:hAnsi="SimSun" w:cs="SimSun"/>
          <w:sz w:val="21"/>
          <w:szCs w:val="21"/>
        </w:rPr>
        <w:t>本题为原因类题，要求运用《经济与社会》的知识，阐释湖南成功培育重点产业新增长极的原因，从政府职能、创新发展理念、绿色发展理念等角度分析作答。</w:t>
      </w:r>
    </w:p>
    <w:p>
      <w:pPr>
        <w:widowControl w:val="0"/>
        <w:spacing w:before="0" w:after="0" w:line="360" w:lineRule="auto"/>
        <w:jc w:val="both"/>
        <w:rPr>
          <w:sz w:val="21"/>
          <w:szCs w:val="21"/>
        </w:rPr>
      </w:pPr>
      <w:r>
        <w:rPr>
          <w:rFonts w:ascii="SimSun" w:eastAsia="SimSun" w:hAnsi="SimSun" w:cs="SimSun"/>
          <w:sz w:val="21"/>
          <w:szCs w:val="21"/>
        </w:rPr>
        <w:t>第二步：审材料。提取关键词，链接教材知识。</w:t>
      </w:r>
    </w:p>
    <w:p>
      <w:pPr>
        <w:widowControl w:val="0"/>
        <w:spacing w:before="0" w:after="0" w:line="360" w:lineRule="auto"/>
        <w:jc w:val="both"/>
        <w:rPr>
          <w:sz w:val="21"/>
          <w:szCs w:val="21"/>
        </w:rPr>
      </w:pPr>
      <w:r>
        <w:rPr>
          <w:rFonts w:ascii="SimSun" w:eastAsia="SimSun" w:hAnsi="SimSun" w:cs="SimSun"/>
          <w:sz w:val="21"/>
          <w:szCs w:val="21"/>
        </w:rPr>
        <w:t>关键词①：从减税降费到资金补助，从人才引进到创新平台建设，湖南省政府为企业的快速发展提供坚实保障→可联系政府的宏观调控或经济职能。</w:t>
      </w:r>
    </w:p>
    <w:p>
      <w:pPr>
        <w:widowControl w:val="0"/>
        <w:spacing w:before="0" w:after="0" w:line="360" w:lineRule="auto"/>
        <w:jc w:val="both"/>
        <w:rPr>
          <w:sz w:val="21"/>
          <w:szCs w:val="21"/>
        </w:rPr>
      </w:pPr>
      <w:r>
        <w:rPr>
          <w:rFonts w:ascii="SimSun" w:eastAsia="SimSun" w:hAnsi="SimSun" w:cs="SimSun"/>
          <w:sz w:val="21"/>
          <w:szCs w:val="21"/>
        </w:rPr>
        <w:t>关键词②：中车株洲电力机车研究所有限公司是中国轨道交通装备领域的重要研发基地，为顺应“双碳”时代背景，公司聚焦电能转换控制，打通了覆盖新型电力系统“源网荷储”的全技术链和产业链→可联系创新发展理念。</w:t>
      </w:r>
    </w:p>
    <w:p>
      <w:pPr>
        <w:widowControl w:val="0"/>
        <w:spacing w:before="0" w:after="0" w:line="360" w:lineRule="auto"/>
        <w:jc w:val="both"/>
        <w:rPr>
          <w:sz w:val="21"/>
          <w:szCs w:val="21"/>
        </w:rPr>
      </w:pPr>
      <w:r>
        <w:rPr>
          <w:rFonts w:ascii="SimSun" w:eastAsia="SimSun" w:hAnsi="SimSun" w:cs="SimSun"/>
          <w:sz w:val="21"/>
          <w:szCs w:val="21"/>
        </w:rPr>
        <w:t>关键词③：涌现新的经济增长点——清洁能源产业集群。→可联系绿色发展理念。</w:t>
      </w:r>
    </w:p>
    <w:p>
      <w:pPr>
        <w:widowControl w:val="0"/>
        <w:spacing w:before="0" w:after="0" w:line="360" w:lineRule="auto"/>
        <w:rPr>
          <w:sz w:val="21"/>
          <w:szCs w:val="21"/>
        </w:rPr>
      </w:pPr>
      <w:r>
        <w:rPr>
          <w:rFonts w:ascii="SimSun" w:eastAsia="SimSun" w:hAnsi="SimSun" w:cs="SimSun"/>
          <w:sz w:val="21"/>
          <w:szCs w:val="21"/>
        </w:rPr>
        <w:t>第三步：整合信息，组织答案。注意设问限定以及教材知识与材料、时政信息等相结合。</w:t>
      </w:r>
    </w:p>
    <w:p>
      <w:pPr>
        <w:widowControl w:val="0"/>
        <w:spacing w:before="0" w:after="0" w:line="360" w:lineRule="auto"/>
        <w:rPr>
          <w:sz w:val="21"/>
          <w:szCs w:val="21"/>
        </w:rPr>
      </w:pPr>
      <w:r>
        <w:rPr>
          <w:rFonts w:ascii="SimSun" w:eastAsia="SimSun" w:hAnsi="SimSun" w:cs="SimSun"/>
          <w:sz w:val="21"/>
          <w:szCs w:val="21"/>
        </w:rPr>
        <w:t>【小问</w:t>
      </w:r>
      <w:r>
        <w:rPr>
          <w:sz w:val="21"/>
          <w:szCs w:val="21"/>
        </w:rPr>
        <w:t>3</w:t>
      </w:r>
      <w:r>
        <w:rPr>
          <w:rFonts w:ascii="SimSun" w:eastAsia="SimSun" w:hAnsi="SimSun" w:cs="SimSun"/>
          <w:sz w:val="21"/>
          <w:szCs w:val="21"/>
        </w:rPr>
        <w:t>详解】</w:t>
      </w:r>
    </w:p>
    <w:p>
      <w:pPr>
        <w:widowControl w:val="0"/>
        <w:spacing w:before="0" w:after="0" w:line="360" w:lineRule="auto"/>
        <w:jc w:val="both"/>
        <w:rPr>
          <w:sz w:val="21"/>
          <w:szCs w:val="21"/>
        </w:rPr>
      </w:pPr>
      <w:r>
        <w:rPr>
          <w:rFonts w:ascii="SimSun" w:eastAsia="SimSun" w:hAnsi="SimSun" w:cs="SimSun"/>
          <w:sz w:val="21"/>
          <w:szCs w:val="21"/>
        </w:rPr>
        <w:t>第一步：审设问。明确主体、知识范围、问题限定和作答角度。</w:t>
      </w:r>
    </w:p>
    <w:p>
      <w:pPr>
        <w:widowControl w:val="0"/>
        <w:spacing w:before="0" w:after="0" w:line="360" w:lineRule="auto"/>
        <w:jc w:val="both"/>
        <w:rPr>
          <w:sz w:val="21"/>
          <w:szCs w:val="21"/>
        </w:rPr>
      </w:pPr>
      <w:r>
        <w:rPr>
          <w:rFonts w:ascii="SimSun" w:eastAsia="SimSun" w:hAnsi="SimSun" w:cs="SimSun"/>
          <w:sz w:val="21"/>
          <w:szCs w:val="21"/>
        </w:rPr>
        <w:t>本题为说明类主观题，要求运用《政治与法治》的知识，说明湖南是如何为经济社会高质量发展提供法治保障的，从党、人大、人大代表等角度分析作答。</w:t>
      </w:r>
    </w:p>
    <w:p>
      <w:pPr>
        <w:widowControl w:val="0"/>
        <w:spacing w:before="0" w:after="0" w:line="360" w:lineRule="auto"/>
        <w:jc w:val="both"/>
        <w:rPr>
          <w:sz w:val="21"/>
          <w:szCs w:val="21"/>
        </w:rPr>
      </w:pPr>
      <w:r>
        <w:rPr>
          <w:rFonts w:ascii="SimSun" w:eastAsia="SimSun" w:hAnsi="SimSun" w:cs="SimSun"/>
          <w:sz w:val="21"/>
          <w:szCs w:val="21"/>
        </w:rPr>
        <w:t>第二步：审材料。提取关键词，链接教材知识。</w:t>
      </w:r>
    </w:p>
    <w:p>
      <w:pPr>
        <w:widowControl w:val="0"/>
        <w:spacing w:before="0" w:after="0" w:line="360" w:lineRule="auto"/>
        <w:jc w:val="both"/>
        <w:rPr>
          <w:sz w:val="21"/>
          <w:szCs w:val="21"/>
        </w:rPr>
      </w:pPr>
      <w:r>
        <w:rPr>
          <w:rFonts w:ascii="SimSun" w:eastAsia="SimSun" w:hAnsi="SimSun" w:cs="SimSun"/>
          <w:sz w:val="21"/>
          <w:szCs w:val="21"/>
        </w:rPr>
        <w:t>关键词①：湖南省委制定了《省委领导地方立法工作规程（试行）》，为地方立法工作提供了根本遵循→可联系党的领导核心地位。</w:t>
      </w:r>
    </w:p>
    <w:p>
      <w:pPr>
        <w:widowControl w:val="0"/>
        <w:spacing w:before="0" w:after="0" w:line="360" w:lineRule="auto"/>
        <w:jc w:val="both"/>
        <w:rPr>
          <w:sz w:val="21"/>
          <w:szCs w:val="21"/>
        </w:rPr>
      </w:pPr>
      <w:r>
        <w:rPr>
          <w:rFonts w:ascii="SimSun" w:eastAsia="SimSun" w:hAnsi="SimSun" w:cs="SimSun"/>
          <w:sz w:val="21"/>
          <w:szCs w:val="21"/>
        </w:rPr>
        <w:t>关键词②：省人大在立法项目选定上，坚持民有所呼、法有所应；深入基层、深入群众，广泛听取意见和建议→可联系坚持人民主体地位、民主立法。</w:t>
      </w:r>
    </w:p>
    <w:p>
      <w:pPr>
        <w:widowControl w:val="0"/>
        <w:spacing w:before="0" w:after="0" w:line="360" w:lineRule="auto"/>
        <w:jc w:val="both"/>
        <w:rPr>
          <w:sz w:val="21"/>
          <w:szCs w:val="21"/>
        </w:rPr>
      </w:pPr>
      <w:r>
        <w:rPr>
          <w:rFonts w:ascii="SimSun" w:eastAsia="SimSun" w:hAnsi="SimSun" w:cs="SimSun"/>
          <w:sz w:val="21"/>
          <w:szCs w:val="21"/>
        </w:rPr>
        <w:t>关键词③：对省人大代表进行专业分组，从立项、起草、调研、论证、修改、审议、评估等全流程有针对性地吸收人大代表参与，不断扩大人大代表参与立法工作深度广度→可联系人大代表的职责。</w:t>
      </w:r>
    </w:p>
    <w:p>
      <w:pPr>
        <w:widowControl w:val="0"/>
        <w:spacing w:before="0" w:after="0" w:line="360" w:lineRule="auto"/>
        <w:jc w:val="both"/>
        <w:rPr>
          <w:sz w:val="21"/>
          <w:szCs w:val="21"/>
        </w:rPr>
      </w:pPr>
      <w:r>
        <w:rPr>
          <w:rFonts w:ascii="SimSun" w:eastAsia="SimSun" w:hAnsi="SimSun" w:cs="SimSun"/>
          <w:sz w:val="21"/>
          <w:szCs w:val="21"/>
        </w:rPr>
        <w:t>关键词④：整个材料→可联系党的领导、人民当家作主、依法治国三者有机统一。</w:t>
      </w:r>
    </w:p>
    <w:p>
      <w:pPr>
        <w:widowControl w:val="0"/>
        <w:spacing w:before="0" w:after="0" w:line="360" w:lineRule="auto"/>
        <w:rPr>
          <w:sz w:val="21"/>
          <w:szCs w:val="21"/>
        </w:rPr>
      </w:pPr>
      <w:r>
        <w:rPr>
          <w:rFonts w:ascii="SimSun" w:eastAsia="SimSun" w:hAnsi="SimSun" w:cs="SimSun"/>
          <w:sz w:val="21"/>
          <w:szCs w:val="21"/>
        </w:rPr>
        <w:t>第三步：整合信息，组织答案。注意设问限定以及教材知识与材料、时政信息等相结合。</w:t>
      </w:r>
    </w:p>
    <w:p>
      <w:pPr>
        <w:widowControl w:val="0"/>
        <w:spacing w:before="0" w:after="0" w:line="360" w:lineRule="auto"/>
        <w:rPr>
          <w:sz w:val="21"/>
          <w:szCs w:val="21"/>
        </w:rPr>
      </w:pPr>
      <w:r>
        <w:rPr>
          <w:sz w:val="21"/>
          <w:szCs w:val="21"/>
        </w:rPr>
        <w:t xml:space="preserve">18. </w:t>
      </w:r>
      <w:r>
        <w:rPr>
          <w:rFonts w:ascii="SimSun" w:eastAsia="SimSun" w:hAnsi="SimSun" w:cs="SimSun"/>
          <w:sz w:val="21"/>
          <w:szCs w:val="21"/>
        </w:rPr>
        <w:t>阅读材料，完成下列要求。</w:t>
      </w:r>
    </w:p>
    <w:p>
      <w:pPr>
        <w:widowControl w:val="0"/>
        <w:spacing w:before="0" w:after="0" w:line="360" w:lineRule="auto"/>
        <w:ind w:firstLine="420"/>
        <w:jc w:val="both"/>
        <w:rPr>
          <w:sz w:val="21"/>
          <w:szCs w:val="21"/>
        </w:rPr>
      </w:pPr>
      <w:r>
        <w:rPr>
          <w:rFonts w:ascii="KaiTi" w:eastAsia="KaiTi" w:hAnsi="KaiTi" w:cs="KaiTi"/>
          <w:sz w:val="21"/>
          <w:szCs w:val="21"/>
        </w:rPr>
        <w:t>中国新能源产业发展是全球性贡献和机遇，担当了惠及全球的大国责任。</w:t>
      </w:r>
      <w:r>
        <w:rPr>
          <w:strike w:val="0"/>
          <w:sz w:val="21"/>
          <w:szCs w:val="21"/>
          <w:u w:val="none"/>
        </w:rPr>
        <w:drawing>
          <wp:inline>
            <wp:extent cx="28575" cy="28575"/>
            <wp:docPr id="100175" name="" descr="page numb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5"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ind w:firstLine="420"/>
        <w:jc w:val="both"/>
        <w:rPr>
          <w:sz w:val="21"/>
          <w:szCs w:val="21"/>
        </w:rPr>
      </w:pPr>
      <w:r>
        <w:rPr>
          <w:rFonts w:ascii="KaiTi" w:eastAsia="KaiTi" w:hAnsi="KaiTi" w:cs="KaiTi"/>
          <w:sz w:val="21"/>
          <w:szCs w:val="21"/>
        </w:rPr>
        <w:t>赞比亚光伏电站、泰国水面漂浮光伏电站、乌兹别克斯坦1吉瓦光伏项目首期400兆瓦等项目纷纷实现并网发电……中国与100多个国家和地区开展绿色能源项目合作。国际可再生能源署报告显示，过去10年间，全球风电和光伏发电项目平均度电成本分别累计下降超过了60%和80%，这其中很大一部分归功于中国创新、中国制造、中国工程。中国与合作国家深入互动，通过技术转让和项目本地化普及技术进步，助力合作方培育经济新动能。</w:t>
      </w:r>
    </w:p>
    <w:p>
      <w:pPr>
        <w:widowControl w:val="0"/>
        <w:spacing w:before="0" w:after="0" w:line="360" w:lineRule="auto"/>
        <w:ind w:firstLine="420"/>
        <w:jc w:val="both"/>
        <w:rPr>
          <w:sz w:val="21"/>
          <w:szCs w:val="21"/>
        </w:rPr>
      </w:pPr>
      <w:r>
        <w:rPr>
          <w:rFonts w:ascii="KaiTi" w:eastAsia="KaiTi" w:hAnsi="KaiTi" w:cs="KaiTi"/>
          <w:sz w:val="21"/>
          <w:szCs w:val="21"/>
        </w:rPr>
        <w:t>凭借持续的技术创新、完善的产供链体系和充分的市场竞争，走向世界的中国新能源汽车产品，满足更多消费者需求。2024年1—4月，中国新能源汽车出口42.1万辆，同比增长20.8%。</w:t>
      </w:r>
    </w:p>
    <w:p>
      <w:pPr>
        <w:widowControl w:val="0"/>
        <w:spacing w:before="0" w:after="0" w:line="360" w:lineRule="auto"/>
        <w:rPr>
          <w:sz w:val="21"/>
          <w:szCs w:val="21"/>
        </w:rPr>
      </w:pPr>
      <w:r>
        <w:rPr>
          <w:rFonts w:ascii="SimSun" w:eastAsia="SimSun" w:hAnsi="SimSun" w:cs="SimSun"/>
          <w:sz w:val="21"/>
          <w:szCs w:val="21"/>
        </w:rPr>
        <w:t>中国新能源产业发展是全球性贡献和机遇。结合材料，运用“经济全球化”知识加以说明。</w:t>
      </w:r>
    </w:p>
    <w:p>
      <w:pPr>
        <w:widowControl w:val="0"/>
        <w:spacing w:before="0" w:after="0" w:line="360" w:lineRule="auto"/>
        <w:jc w:val="both"/>
        <w:rPr>
          <w:sz w:val="21"/>
          <w:szCs w:val="21"/>
        </w:rPr>
      </w:pPr>
      <w:r>
        <w:rPr>
          <w:rFonts w:ascii="SimSun" w:eastAsia="SimSun" w:hAnsi="SimSun" w:cs="SimSun"/>
          <w:color w:val="2E75B6"/>
          <w:sz w:val="21"/>
          <w:szCs w:val="21"/>
        </w:rPr>
        <w:t>【答案】</w:t>
      </w:r>
      <w:r>
        <w:rPr>
          <w:rFonts w:ascii="Cambria Math" w:eastAsia="Cambria Math" w:hAnsi="Cambria Math" w:cs="Cambria Math"/>
          <w:sz w:val="21"/>
          <w:szCs w:val="21"/>
        </w:rPr>
        <w:t>①</w:t>
      </w:r>
      <w:r>
        <w:rPr>
          <w:rFonts w:ascii="SimSun" w:eastAsia="SimSun" w:hAnsi="SimSun" w:cs="SimSun"/>
          <w:sz w:val="21"/>
          <w:szCs w:val="21"/>
        </w:rPr>
        <w:t>中国新能源产业的发展，扩大了全球消费者对新能源产品的消费，促进了全球产业链供应链的稳定，为全球经济增长提供了新的动力。</w:t>
      </w:r>
    </w:p>
    <w:p>
      <w:pPr>
        <w:widowControl w:val="0"/>
        <w:spacing w:before="0" w:after="0" w:line="360" w:lineRule="auto"/>
        <w:rPr>
          <w:sz w:val="21"/>
          <w:szCs w:val="21"/>
        </w:rPr>
      </w:pPr>
      <w:r>
        <w:rPr>
          <w:rFonts w:ascii="Cambria Math" w:eastAsia="Cambria Math" w:hAnsi="Cambria Math" w:cs="Cambria Math"/>
          <w:sz w:val="21"/>
          <w:szCs w:val="21"/>
        </w:rPr>
        <w:t>②</w:t>
      </w:r>
      <w:r>
        <w:rPr>
          <w:rFonts w:ascii="SimSun" w:eastAsia="SimSun" w:hAnsi="SimSun" w:cs="SimSun"/>
          <w:sz w:val="21"/>
          <w:szCs w:val="21"/>
        </w:rPr>
        <w:t>中国新能源产业</w:t>
      </w:r>
      <w:r>
        <w:rPr>
          <w:strike w:val="0"/>
          <w:sz w:val="21"/>
          <w:szCs w:val="21"/>
          <w:u w:val="none"/>
        </w:rPr>
        <w:drawing>
          <wp:inline>
            <wp:extent cx="133350" cy="180975"/>
            <wp:docPr id="10018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9" name=""/>
                    <pic:cNvPicPr>
                      <a:picLocks noChangeAspect="1"/>
                    </pic:cNvPicPr>
                  </pic:nvPicPr>
                  <pic:blipFill>
                    <a:blip xmlns:r="http://schemas.openxmlformats.org/officeDocument/2006/relationships" r:embed="rId9"/>
                    <a:stretch>
                      <a:fillRect/>
                    </a:stretch>
                  </pic:blipFill>
                  <pic:spPr>
                    <a:xfrm>
                      <a:off x="0" y="0"/>
                      <a:ext cx="133350" cy="180975"/>
                    </a:xfrm>
                    <a:prstGeom prst="rect">
                      <a:avLst/>
                    </a:prstGeom>
                  </pic:spPr>
                </pic:pic>
              </a:graphicData>
            </a:graphic>
          </wp:inline>
        </w:drawing>
      </w:r>
      <w:r>
        <w:rPr>
          <w:rFonts w:ascii="SimSun" w:eastAsia="SimSun" w:hAnsi="SimSun" w:cs="SimSun"/>
          <w:sz w:val="21"/>
          <w:szCs w:val="21"/>
        </w:rPr>
        <w:t>发展，有助于全球应对气候变化，推动实现可持续发展、绿色低碳发展。</w:t>
      </w:r>
    </w:p>
    <w:p>
      <w:pPr>
        <w:widowControl w:val="0"/>
        <w:spacing w:before="0" w:after="0" w:line="360" w:lineRule="auto"/>
        <w:rPr>
          <w:sz w:val="21"/>
          <w:szCs w:val="21"/>
        </w:rPr>
      </w:pPr>
      <w:r>
        <w:rPr>
          <w:rFonts w:ascii="Cambria Math" w:eastAsia="Cambria Math" w:hAnsi="Cambria Math" w:cs="Cambria Math"/>
          <w:sz w:val="21"/>
          <w:szCs w:val="21"/>
        </w:rPr>
        <w:t>③</w:t>
      </w:r>
      <w:r>
        <w:rPr>
          <w:rFonts w:ascii="SimSun" w:eastAsia="SimSun" w:hAnsi="SimSun" w:cs="SimSun"/>
          <w:sz w:val="21"/>
          <w:szCs w:val="21"/>
        </w:rPr>
        <w:t>中国新能源产业通过开放合作，互惠贸易，促进了全球资源的优化配置，为各国企业提供了更多的商业机会和合作空间，促进创新型、开放型、联动型、包容型世界经济的建设，推动世界经济朝着合作共赢方向发展。</w:t>
      </w:r>
    </w:p>
    <w:p>
      <w:pPr>
        <w:widowControl w:val="0"/>
        <w:spacing w:before="0" w:after="0" w:line="360" w:lineRule="auto"/>
        <w:rPr>
          <w:sz w:val="21"/>
          <w:szCs w:val="21"/>
        </w:rPr>
      </w:pPr>
      <w:r>
        <w:rPr>
          <w:rFonts w:ascii="SimSun" w:eastAsia="SimSun" w:hAnsi="SimSun" w:cs="SimSun"/>
          <w:sz w:val="21"/>
          <w:szCs w:val="21"/>
        </w:rPr>
        <w:t>（原试题无答案，此答案仅供参考）</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jc w:val="both"/>
        <w:rPr>
          <w:sz w:val="21"/>
          <w:szCs w:val="21"/>
        </w:rPr>
      </w:pPr>
      <w:r>
        <w:rPr>
          <w:rFonts w:ascii="SimSun" w:eastAsia="SimSun" w:hAnsi="SimSun" w:cs="SimSun"/>
          <w:sz w:val="21"/>
          <w:szCs w:val="21"/>
        </w:rPr>
        <w:t>【分析】背景素材：中国新能源产业发展是全球性贡献和机遇</w:t>
      </w:r>
    </w:p>
    <w:p>
      <w:pPr>
        <w:widowControl w:val="0"/>
        <w:spacing w:before="0" w:after="0" w:line="360" w:lineRule="auto"/>
        <w:jc w:val="both"/>
        <w:rPr>
          <w:sz w:val="21"/>
          <w:szCs w:val="21"/>
        </w:rPr>
      </w:pPr>
      <w:r>
        <w:rPr>
          <w:rFonts w:ascii="SimSun" w:eastAsia="SimSun" w:hAnsi="SimSun" w:cs="SimSun"/>
          <w:sz w:val="21"/>
          <w:szCs w:val="21"/>
        </w:rPr>
        <w:t>考点考查：“经济全球化”知识</w:t>
      </w:r>
    </w:p>
    <w:p>
      <w:pPr>
        <w:widowControl w:val="0"/>
        <w:spacing w:before="0" w:after="0" w:line="360" w:lineRule="auto"/>
        <w:jc w:val="both"/>
        <w:rPr>
          <w:sz w:val="21"/>
          <w:szCs w:val="21"/>
        </w:rPr>
      </w:pPr>
      <w:r>
        <w:rPr>
          <w:rFonts w:ascii="SimSun" w:eastAsia="SimSun" w:hAnsi="SimSun" w:cs="SimSun"/>
          <w:sz w:val="21"/>
          <w:szCs w:val="21"/>
        </w:rPr>
        <w:t>能力考查：描述和阐释事物、论证和探究问题</w:t>
      </w:r>
      <w:r>
        <w:rPr>
          <w:rFonts w:ascii="SimSun" w:eastAsia="SimSun" w:hAnsi="SimSun" w:cs="SimSun"/>
          <w:sz w:val="21"/>
          <w:szCs w:val="21"/>
        </w:rPr>
        <w:t> </w:t>
      </w:r>
      <w:r>
        <w:rPr>
          <w:rFonts w:ascii="SimSun" w:eastAsia="SimSun" w:hAnsi="SimSun" w:cs="SimSun"/>
          <w:sz w:val="21"/>
          <w:szCs w:val="21"/>
        </w:rPr>
        <w:t> </w:t>
      </w:r>
    </w:p>
    <w:p>
      <w:pPr>
        <w:widowControl w:val="0"/>
        <w:spacing w:before="0" w:after="0" w:line="360" w:lineRule="auto"/>
        <w:rPr>
          <w:sz w:val="21"/>
          <w:szCs w:val="21"/>
        </w:rPr>
      </w:pPr>
      <w:r>
        <w:rPr>
          <w:rFonts w:ascii="SimSun" w:eastAsia="SimSun" w:hAnsi="SimSun" w:cs="SimSun"/>
          <w:sz w:val="21"/>
          <w:szCs w:val="21"/>
        </w:rPr>
        <w:t>核心素养：政治认同、科学精神</w:t>
      </w:r>
    </w:p>
    <w:p>
      <w:pPr>
        <w:widowControl w:val="0"/>
        <w:spacing w:before="0" w:after="0" w:line="360" w:lineRule="auto"/>
        <w:jc w:val="both"/>
        <w:rPr>
          <w:sz w:val="21"/>
          <w:szCs w:val="21"/>
        </w:rPr>
      </w:pPr>
      <w:r>
        <w:rPr>
          <w:rFonts w:ascii="SimSun" w:eastAsia="SimSun" w:hAnsi="SimSun" w:cs="SimSun"/>
          <w:sz w:val="21"/>
          <w:szCs w:val="21"/>
        </w:rPr>
        <w:t>【详解】第一步：审设问。明确主体、知识范围、问题限定和作答角度。</w:t>
      </w:r>
    </w:p>
    <w:p>
      <w:pPr>
        <w:widowControl w:val="0"/>
        <w:spacing w:before="0" w:after="0" w:line="360" w:lineRule="auto"/>
        <w:jc w:val="both"/>
        <w:rPr>
          <w:sz w:val="21"/>
          <w:szCs w:val="21"/>
        </w:rPr>
      </w:pPr>
      <w:r>
        <w:rPr>
          <w:rFonts w:ascii="SimSun" w:eastAsia="SimSun" w:hAnsi="SimSun" w:cs="SimSun"/>
          <w:sz w:val="21"/>
          <w:szCs w:val="21"/>
        </w:rPr>
        <w:t>本题为说明类主观题，要求结合材料，运用“经济全球化”知识对“中国新能源产业发展是全球性贡献和机遇”加以说明，从消费、全球气候、开放合作等角度分析作答。</w:t>
      </w:r>
    </w:p>
    <w:p>
      <w:pPr>
        <w:widowControl w:val="0"/>
        <w:spacing w:before="0" w:after="0" w:line="360" w:lineRule="auto"/>
        <w:jc w:val="both"/>
        <w:rPr>
          <w:sz w:val="21"/>
          <w:szCs w:val="21"/>
        </w:rPr>
      </w:pPr>
      <w:r>
        <w:rPr>
          <w:rFonts w:ascii="SimSun" w:eastAsia="SimSun" w:hAnsi="SimSun" w:cs="SimSun"/>
          <w:sz w:val="21"/>
          <w:szCs w:val="21"/>
        </w:rPr>
        <w:t>第二步：审材料。提取关键词，链接教材知识。</w:t>
      </w:r>
    </w:p>
    <w:p>
      <w:pPr>
        <w:widowControl w:val="0"/>
        <w:spacing w:before="0" w:after="0" w:line="360" w:lineRule="auto"/>
        <w:jc w:val="both"/>
        <w:rPr>
          <w:sz w:val="21"/>
          <w:szCs w:val="21"/>
        </w:rPr>
      </w:pPr>
      <w:r>
        <w:rPr>
          <w:rFonts w:ascii="SimSun" w:eastAsia="SimSun" w:hAnsi="SimSun" w:cs="SimSun"/>
          <w:sz w:val="21"/>
          <w:szCs w:val="21"/>
        </w:rPr>
        <w:t>关键词①：凭借持续的技术创新、完善的产供链体系和充分的市场竞争，走向世界的中国新能源汽车产品，满足更多消费者需求→可联系促进全球消费，稳定产供链。</w:t>
      </w:r>
    </w:p>
    <w:p>
      <w:pPr>
        <w:widowControl w:val="0"/>
        <w:spacing w:before="0" w:after="0" w:line="360" w:lineRule="auto"/>
        <w:jc w:val="both"/>
        <w:rPr>
          <w:sz w:val="21"/>
          <w:szCs w:val="21"/>
        </w:rPr>
      </w:pPr>
      <w:r>
        <w:rPr>
          <w:rFonts w:ascii="SimSun" w:eastAsia="SimSun" w:hAnsi="SimSun" w:cs="SimSun"/>
          <w:sz w:val="21"/>
          <w:szCs w:val="21"/>
        </w:rPr>
        <w:t>关键词②：中国与100多个国家和地区开展绿色能源项目合作→可联系促进全球绿色可持续发展。</w:t>
      </w:r>
    </w:p>
    <w:p>
      <w:pPr>
        <w:widowControl w:val="0"/>
        <w:spacing w:before="0" w:after="0" w:line="360" w:lineRule="auto"/>
        <w:jc w:val="both"/>
        <w:rPr>
          <w:sz w:val="21"/>
          <w:szCs w:val="21"/>
        </w:rPr>
      </w:pPr>
      <w:r>
        <w:rPr>
          <w:rFonts w:ascii="SimSun" w:eastAsia="SimSun" w:hAnsi="SimSun" w:cs="SimSun"/>
          <w:sz w:val="21"/>
          <w:szCs w:val="21"/>
        </w:rPr>
        <w:t>关键词③：中国与合作国家深入互动，通过技术转让和项目本地化普及技术进步，助力合作方培育经济新动能→可联系互利共赢，促进资源优化配置。</w:t>
      </w:r>
    </w:p>
    <w:p>
      <w:pPr>
        <w:widowControl w:val="0"/>
        <w:spacing w:before="0" w:after="0" w:line="360" w:lineRule="auto"/>
        <w:rPr>
          <w:sz w:val="21"/>
          <w:szCs w:val="21"/>
        </w:rPr>
      </w:pPr>
      <w:r>
        <w:rPr>
          <w:rFonts w:ascii="SimSun" w:eastAsia="SimSun" w:hAnsi="SimSun" w:cs="SimSun"/>
          <w:sz w:val="21"/>
          <w:szCs w:val="21"/>
        </w:rPr>
        <w:t>第三步：整合信息，组织答案。注意设问限定以及教材知识与材料、时政信息等相结合。</w:t>
      </w:r>
      <w:r>
        <w:rPr>
          <w:strike w:val="0"/>
          <w:sz w:val="21"/>
          <w:szCs w:val="21"/>
          <w:u w:val="none"/>
        </w:rPr>
        <w:drawing>
          <wp:inline>
            <wp:extent cx="28575" cy="28575"/>
            <wp:docPr id="100191" name="" descr="page number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1"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rPr>
          <w:sz w:val="21"/>
          <w:szCs w:val="21"/>
        </w:rPr>
      </w:pPr>
      <w:r>
        <w:rPr>
          <w:sz w:val="21"/>
          <w:szCs w:val="21"/>
        </w:rPr>
        <w:t xml:space="preserve">19. </w:t>
      </w:r>
      <w:r>
        <w:rPr>
          <w:rFonts w:ascii="SimSun" w:eastAsia="SimSun" w:hAnsi="SimSun" w:cs="SimSun"/>
          <w:sz w:val="21"/>
          <w:szCs w:val="21"/>
        </w:rPr>
        <w:t>阅读材料，完成下列要求。</w:t>
      </w:r>
    </w:p>
    <w:tbl>
      <w:tblPr>
        <w:tblW w:w="6450" w:type="dxa"/>
        <w:tblInd w:w="128" w:type="dxa"/>
        <w:tblBorders>
          <w:top w:val="single" w:sz="6" w:space="0" w:color="000000"/>
          <w:left w:val="single" w:sz="6" w:space="0" w:color="000000"/>
          <w:bottom w:val="single" w:sz="6" w:space="0" w:color="000000"/>
          <w:right w:val="single" w:sz="6" w:space="0" w:color="000000"/>
        </w:tblBorders>
        <w:tblCellMar>
          <w:top w:w="0" w:type="dxa"/>
          <w:left w:w="0" w:type="dxa"/>
          <w:bottom w:w="0" w:type="dxa"/>
          <w:right w:w="0" w:type="dxa"/>
        </w:tblCellMar>
      </w:tblPr>
      <w:tblGrid>
        <w:gridCol w:w="16608"/>
        <w:gridCol w:w="15072"/>
      </w:tblGrid>
      <w:tr>
        <w:tblPrEx>
          <w:tblW w:w="6450" w:type="dxa"/>
          <w:tblInd w:w="128" w:type="dxa"/>
          <w:tblBorders>
            <w:top w:val="single" w:sz="6" w:space="0" w:color="000000"/>
            <w:left w:val="single" w:sz="6" w:space="0" w:color="000000"/>
            <w:bottom w:val="single" w:sz="6" w:space="0" w:color="000000"/>
            <w:right w:val="single" w:sz="6" w:space="0" w:color="000000"/>
          </w:tblBorders>
          <w:tblCellMar>
            <w:top w:w="0" w:type="dxa"/>
            <w:left w:w="0" w:type="dxa"/>
            <w:bottom w:w="0" w:type="dxa"/>
            <w:right w:w="0" w:type="dxa"/>
          </w:tblCellMar>
        </w:tblPrEx>
        <w:tc>
          <w:tcPr>
            <w:tcW w:w="2685" w:type="dxa"/>
            <w:tcBorders>
              <w:bottom w:val="single" w:sz="6" w:space="0" w:color="000000"/>
              <w:right w:val="single" w:sz="6" w:space="0" w:color="000000"/>
            </w:tcBorders>
            <w:noWrap w:val="0"/>
            <w:tcMar>
              <w:top w:w="76" w:type="dxa"/>
              <w:left w:w="120" w:type="dxa"/>
              <w:bottom w:w="76" w:type="dxa"/>
              <w:right w:w="120" w:type="dxa"/>
            </w:tcMar>
            <w:vAlign w:val="center"/>
            <w:hideMark/>
          </w:tcPr>
          <w:p>
            <w:pPr>
              <w:widowControl w:val="0"/>
              <w:spacing w:before="0" w:after="0" w:line="360" w:lineRule="auto"/>
              <w:rPr>
                <w:b w:val="0"/>
                <w:bCs w:val="0"/>
                <w:i w:val="0"/>
                <w:iCs w:val="0"/>
                <w:smallCaps w:val="0"/>
                <w:color w:val="000000"/>
                <w:sz w:val="21"/>
                <w:szCs w:val="21"/>
              </w:rPr>
            </w:pPr>
            <w:r>
              <w:rPr>
                <w:rFonts w:ascii="KaiTi" w:eastAsia="KaiTi" w:hAnsi="KaiTi" w:cs="KaiTi"/>
                <w:b w:val="0"/>
                <w:bCs w:val="0"/>
                <w:i w:val="0"/>
                <w:iCs w:val="0"/>
                <w:smallCaps w:val="0"/>
                <w:color w:val="000000"/>
                <w:sz w:val="21"/>
                <w:szCs w:val="21"/>
              </w:rPr>
              <w:t>案例一</w:t>
            </w:r>
          </w:p>
        </w:tc>
        <w:tc>
          <w:tcPr>
            <w:tcW w:w="3405" w:type="dxa"/>
            <w:tcBorders>
              <w:left w:val="single" w:sz="6" w:space="0" w:color="000000"/>
              <w:bottom w:val="single" w:sz="6" w:space="0" w:color="000000"/>
            </w:tcBorders>
            <w:noWrap w:val="0"/>
            <w:tcMar>
              <w:top w:w="76" w:type="dxa"/>
              <w:left w:w="120" w:type="dxa"/>
              <w:bottom w:w="76" w:type="dxa"/>
              <w:right w:w="120" w:type="dxa"/>
            </w:tcMar>
            <w:vAlign w:val="center"/>
            <w:hideMark/>
          </w:tcPr>
          <w:p>
            <w:pPr>
              <w:widowControl w:val="0"/>
              <w:spacing w:before="0" w:after="0" w:line="360" w:lineRule="auto"/>
              <w:rPr>
                <w:b w:val="0"/>
                <w:bCs w:val="0"/>
                <w:i w:val="0"/>
                <w:iCs w:val="0"/>
                <w:smallCaps w:val="0"/>
                <w:color w:val="000000"/>
                <w:sz w:val="21"/>
                <w:szCs w:val="21"/>
              </w:rPr>
            </w:pPr>
            <w:r>
              <w:rPr>
                <w:rFonts w:ascii="KaiTi" w:eastAsia="KaiTi" w:hAnsi="KaiTi" w:cs="KaiTi"/>
                <w:b w:val="0"/>
                <w:bCs w:val="0"/>
                <w:i w:val="0"/>
                <w:iCs w:val="0"/>
                <w:smallCaps w:val="0"/>
                <w:color w:val="000000"/>
                <w:sz w:val="21"/>
                <w:szCs w:val="21"/>
              </w:rPr>
              <w:t>案例二</w:t>
            </w:r>
          </w:p>
        </w:tc>
      </w:tr>
      <w:tr>
        <w:tblPrEx>
          <w:tblW w:w="6450" w:type="dxa"/>
          <w:tblInd w:w="128" w:type="dxa"/>
          <w:tblCellMar>
            <w:top w:w="0" w:type="dxa"/>
            <w:left w:w="0" w:type="dxa"/>
            <w:bottom w:w="0" w:type="dxa"/>
            <w:right w:w="0" w:type="dxa"/>
          </w:tblCellMar>
        </w:tblPrEx>
        <w:tc>
          <w:tcPr>
            <w:tcW w:w="2685" w:type="dxa"/>
            <w:tcBorders>
              <w:top w:val="single" w:sz="6" w:space="0" w:color="000000"/>
              <w:bottom w:val="single" w:sz="6" w:space="0" w:color="000000"/>
              <w:right w:val="single" w:sz="6" w:space="0" w:color="000000"/>
            </w:tcBorders>
            <w:noWrap w:val="0"/>
            <w:tcMar>
              <w:top w:w="76" w:type="dxa"/>
              <w:left w:w="120" w:type="dxa"/>
              <w:bottom w:w="76" w:type="dxa"/>
              <w:right w:w="120" w:type="dxa"/>
            </w:tcMar>
            <w:vAlign w:val="center"/>
            <w:hideMark/>
          </w:tcPr>
          <w:p>
            <w:pPr>
              <w:widowControl w:val="0"/>
              <w:spacing w:before="0" w:after="0" w:line="360" w:lineRule="auto"/>
              <w:jc w:val="both"/>
              <w:rPr>
                <w:b w:val="0"/>
                <w:bCs w:val="0"/>
                <w:i w:val="0"/>
                <w:iCs w:val="0"/>
                <w:smallCaps w:val="0"/>
                <w:color w:val="000000"/>
                <w:sz w:val="21"/>
                <w:szCs w:val="21"/>
              </w:rPr>
            </w:pPr>
            <w:r>
              <w:rPr>
                <w:rFonts w:ascii="KaiTi" w:eastAsia="KaiTi" w:hAnsi="KaiTi" w:cs="KaiTi"/>
                <w:b w:val="0"/>
                <w:bCs w:val="0"/>
                <w:i w:val="0"/>
                <w:iCs w:val="0"/>
                <w:smallCaps w:val="0"/>
                <w:color w:val="000000"/>
                <w:sz w:val="21"/>
                <w:szCs w:val="21"/>
              </w:rPr>
              <w:t>蒋女士在某超市购物结算后，推着购物车乘电扶梯离开。在到达电扶梯出口处，因电扶梯比出口处地面低，购车不能正常推动，致蒋女士跌倒。经医院确诊，蒋女士左腕关节大多角撕脱骨折。双方协商无果，对簿公堂。</w:t>
            </w:r>
          </w:p>
        </w:tc>
        <w:tc>
          <w:tcPr>
            <w:tcW w:w="3405" w:type="dxa"/>
            <w:tcBorders>
              <w:top w:val="single" w:sz="6" w:space="0" w:color="000000"/>
              <w:left w:val="single" w:sz="6" w:space="0" w:color="000000"/>
              <w:bottom w:val="single" w:sz="6" w:space="0" w:color="000000"/>
            </w:tcBorders>
            <w:noWrap w:val="0"/>
            <w:tcMar>
              <w:top w:w="76" w:type="dxa"/>
              <w:left w:w="120" w:type="dxa"/>
              <w:bottom w:w="76" w:type="dxa"/>
              <w:right w:w="120" w:type="dxa"/>
            </w:tcMar>
            <w:vAlign w:val="center"/>
            <w:hideMark/>
          </w:tcPr>
          <w:p>
            <w:pPr>
              <w:widowControl w:val="0"/>
              <w:spacing w:before="0" w:after="0" w:line="360" w:lineRule="auto"/>
              <w:jc w:val="both"/>
              <w:rPr>
                <w:b w:val="0"/>
                <w:bCs w:val="0"/>
                <w:i w:val="0"/>
                <w:iCs w:val="0"/>
                <w:smallCaps w:val="0"/>
                <w:color w:val="000000"/>
                <w:sz w:val="21"/>
                <w:szCs w:val="21"/>
              </w:rPr>
            </w:pPr>
            <w:r>
              <w:rPr>
                <w:rFonts w:ascii="KaiTi" w:eastAsia="KaiTi" w:hAnsi="KaiTi" w:cs="KaiTi"/>
                <w:b w:val="0"/>
                <w:bCs w:val="0"/>
                <w:i w:val="0"/>
                <w:iCs w:val="0"/>
                <w:smallCaps w:val="0"/>
                <w:color w:val="000000"/>
                <w:sz w:val="21"/>
                <w:szCs w:val="21"/>
              </w:rPr>
              <w:t>赵女士到某菜市场买菜，不留神踩着地上一个莴笋头，当即摔倒在地，经医院诊断为头颈部外伤及多处软组织损伤。赵女士要求对菜市场负有管理责任的某物业公司赔偿，但遭到拒绝，遂告上法庭。</w:t>
            </w:r>
          </w:p>
        </w:tc>
      </w:tr>
      <w:tr>
        <w:tblPrEx>
          <w:tblW w:w="6450" w:type="dxa"/>
          <w:tblInd w:w="128" w:type="dxa"/>
          <w:tblCellMar>
            <w:top w:w="0" w:type="dxa"/>
            <w:left w:w="0" w:type="dxa"/>
            <w:bottom w:w="0" w:type="dxa"/>
            <w:right w:w="0" w:type="dxa"/>
          </w:tblCellMar>
        </w:tblPrEx>
        <w:trPr>
          <w:trHeight w:val="241"/>
        </w:trPr>
        <w:tc>
          <w:tcPr>
            <w:tcW w:w="6090" w:type="dxa"/>
            <w:gridSpan w:val="2"/>
            <w:tcBorders>
              <w:top w:val="single" w:sz="6" w:space="0" w:color="000000"/>
            </w:tcBorders>
            <w:noWrap w:val="0"/>
            <w:tcMar>
              <w:top w:w="76" w:type="dxa"/>
              <w:left w:w="120" w:type="dxa"/>
              <w:bottom w:w="76" w:type="dxa"/>
              <w:right w:w="120" w:type="dxa"/>
            </w:tcMar>
            <w:vAlign w:val="center"/>
            <w:hideMark/>
          </w:tcPr>
          <w:p>
            <w:pPr>
              <w:widowControl w:val="0"/>
              <w:spacing w:before="0" w:after="0" w:line="360" w:lineRule="auto"/>
              <w:jc w:val="both"/>
              <w:rPr>
                <w:b w:val="0"/>
                <w:bCs w:val="0"/>
                <w:i w:val="0"/>
                <w:iCs w:val="0"/>
                <w:smallCaps w:val="0"/>
                <w:color w:val="000000"/>
                <w:sz w:val="21"/>
                <w:szCs w:val="21"/>
              </w:rPr>
            </w:pPr>
            <w:r>
              <w:rPr>
                <w:rFonts w:ascii="KaiTi" w:eastAsia="KaiTi" w:hAnsi="KaiTi" w:cs="KaiTi"/>
                <w:b w:val="0"/>
                <w:bCs w:val="0"/>
                <w:i w:val="0"/>
                <w:iCs w:val="0"/>
                <w:smallCaps w:val="0"/>
                <w:color w:val="000000"/>
                <w:sz w:val="21"/>
                <w:szCs w:val="21"/>
              </w:rPr>
              <w:t>法律条文：民法典第一千一百九十八条</w:t>
            </w:r>
            <w:r>
              <w:rPr>
                <w:rFonts w:ascii="KaiTi" w:eastAsia="KaiTi" w:hAnsi="KaiTi" w:cs="KaiTi"/>
                <w:b w:val="0"/>
                <w:bCs w:val="0"/>
                <w:i w:val="0"/>
                <w:iCs w:val="0"/>
                <w:smallCaps w:val="0"/>
                <w:color w:val="000000"/>
                <w:sz w:val="21"/>
                <w:szCs w:val="21"/>
              </w:rPr>
              <w:t xml:space="preserve">  </w:t>
            </w:r>
            <w:r>
              <w:rPr>
                <w:rFonts w:ascii="KaiTi" w:eastAsia="KaiTi" w:hAnsi="KaiTi" w:cs="KaiTi"/>
                <w:b w:val="0"/>
                <w:bCs w:val="0"/>
                <w:i w:val="0"/>
                <w:iCs w:val="0"/>
                <w:smallCaps w:val="0"/>
                <w:color w:val="000000"/>
                <w:sz w:val="21"/>
                <w:szCs w:val="21"/>
              </w:rPr>
              <w:t>宾馆、商场、银行、车站、娱乐场所等公共场所的经营者、管理者或者群众性活动的组织者，未尽到安全保障义务，造成他人损害的，应当承担侵权责任。</w:t>
            </w:r>
          </w:p>
          <w:p>
            <w:pPr>
              <w:widowControl w:val="0"/>
              <w:spacing w:before="0" w:after="0" w:line="360" w:lineRule="auto"/>
              <w:jc w:val="both"/>
              <w:rPr>
                <w:b w:val="0"/>
                <w:bCs w:val="0"/>
                <w:i w:val="0"/>
                <w:iCs w:val="0"/>
                <w:smallCaps w:val="0"/>
                <w:color w:val="000000"/>
                <w:sz w:val="21"/>
                <w:szCs w:val="21"/>
              </w:rPr>
            </w:pPr>
            <w:r>
              <w:rPr>
                <w:rFonts w:ascii="KaiTi" w:eastAsia="KaiTi" w:hAnsi="KaiTi" w:cs="KaiTi"/>
                <w:b w:val="0"/>
                <w:bCs w:val="0"/>
                <w:i w:val="0"/>
                <w:iCs w:val="0"/>
                <w:smallCaps w:val="0"/>
                <w:color w:val="000000"/>
                <w:sz w:val="21"/>
                <w:szCs w:val="21"/>
              </w:rPr>
              <w:t>民法典第一千一百七十三条</w:t>
            </w:r>
            <w:r>
              <w:rPr>
                <w:rFonts w:ascii="KaiTi" w:eastAsia="KaiTi" w:hAnsi="KaiTi" w:cs="KaiTi"/>
                <w:b w:val="0"/>
                <w:bCs w:val="0"/>
                <w:i w:val="0"/>
                <w:iCs w:val="0"/>
                <w:smallCaps w:val="0"/>
                <w:color w:val="000000"/>
                <w:sz w:val="21"/>
                <w:szCs w:val="21"/>
              </w:rPr>
              <w:t xml:space="preserve">  </w:t>
            </w:r>
            <w:r>
              <w:rPr>
                <w:rFonts w:ascii="KaiTi" w:eastAsia="KaiTi" w:hAnsi="KaiTi" w:cs="KaiTi"/>
                <w:b w:val="0"/>
                <w:bCs w:val="0"/>
                <w:i w:val="0"/>
                <w:iCs w:val="0"/>
                <w:smallCaps w:val="0"/>
                <w:color w:val="000000"/>
                <w:sz w:val="21"/>
                <w:szCs w:val="21"/>
              </w:rPr>
              <w:t>被侵权人对同一损害的发生或者扩大有过错的，可以减轻侵权人的责任。</w:t>
            </w:r>
          </w:p>
        </w:tc>
      </w:tr>
    </w:tbl>
    <w:p>
      <w:pPr>
        <w:widowControl w:val="0"/>
        <w:spacing w:before="0" w:after="0" w:line="360" w:lineRule="auto"/>
        <w:rPr>
          <w:sz w:val="21"/>
          <w:szCs w:val="21"/>
        </w:rPr>
      </w:pPr>
      <w:r>
        <w:rPr>
          <w:rFonts w:ascii="SimSun" w:eastAsia="SimSun" w:hAnsi="SimSun" w:cs="SimSun"/>
          <w:sz w:val="21"/>
          <w:szCs w:val="21"/>
        </w:rPr>
        <w:t>结合材料，运用《法律与生活》的知识，对上述案例分别予以分析。</w:t>
      </w:r>
    </w:p>
    <w:p>
      <w:pPr>
        <w:widowControl w:val="0"/>
        <w:spacing w:before="0" w:after="0" w:line="360" w:lineRule="auto"/>
        <w:jc w:val="both"/>
        <w:rPr>
          <w:sz w:val="21"/>
          <w:szCs w:val="21"/>
        </w:rPr>
      </w:pPr>
      <w:r>
        <w:rPr>
          <w:rFonts w:ascii="SimSun" w:eastAsia="SimSun" w:hAnsi="SimSun" w:cs="SimSun"/>
          <w:color w:val="2E75B6"/>
          <w:sz w:val="21"/>
          <w:szCs w:val="21"/>
        </w:rPr>
        <w:t>【答案】</w:t>
      </w:r>
      <w:r>
        <w:rPr>
          <w:rFonts w:ascii="SimSun" w:eastAsia="SimSun" w:hAnsi="SimSun" w:cs="SimSun"/>
          <w:sz w:val="21"/>
          <w:szCs w:val="21"/>
        </w:rPr>
        <w:t>案例一分析：某超市因电扶梯比出口处地面低，导致购物车不能正常推动，致蒋女士跌倒。依据民法典规定，该超市未尽到安全保障义务，造成他人损害的，应当承担侵权责任。（原试题无答案，此答案仅供参考）</w:t>
      </w:r>
    </w:p>
    <w:p>
      <w:pPr>
        <w:widowControl w:val="0"/>
        <w:spacing w:before="0" w:after="0" w:line="360" w:lineRule="auto"/>
        <w:rPr>
          <w:sz w:val="21"/>
          <w:szCs w:val="21"/>
        </w:rPr>
      </w:pPr>
      <w:r>
        <w:rPr>
          <w:rFonts w:ascii="SimSun" w:eastAsia="SimSun" w:hAnsi="SimSun" w:cs="SimSun"/>
          <w:sz w:val="21"/>
          <w:szCs w:val="21"/>
        </w:rPr>
        <w:t>案例二分析：赵女士到某菜市场买菜，不留神踩着地上一个莴笋头受伤。首先，菜市场物业未尽到安全保障义务，造成他人损害的，应当承担侵权责任，菜市场物业公司应当承担一定的赔偿责任。同时赵女士由于自己不留神踩着地上一个莴笋头，赵女士自己也有一定过错，自己也要承担部分责任，可以减轻菜市物业的责任。（原试题无答案，此答案仅供参考）</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jc w:val="both"/>
        <w:rPr>
          <w:sz w:val="21"/>
          <w:szCs w:val="21"/>
        </w:rPr>
      </w:pPr>
      <w:r>
        <w:rPr>
          <w:rFonts w:ascii="SimSun" w:eastAsia="SimSun" w:hAnsi="SimSun" w:cs="SimSun"/>
          <w:sz w:val="21"/>
          <w:szCs w:val="21"/>
        </w:rPr>
        <w:t>【分析】背景素材：公共场所受伤</w:t>
      </w:r>
    </w:p>
    <w:p>
      <w:pPr>
        <w:widowControl w:val="0"/>
        <w:spacing w:before="0" w:after="0" w:line="360" w:lineRule="auto"/>
        <w:jc w:val="both"/>
        <w:rPr>
          <w:sz w:val="21"/>
          <w:szCs w:val="21"/>
        </w:rPr>
      </w:pPr>
      <w:r>
        <w:rPr>
          <w:rFonts w:ascii="SimSun" w:eastAsia="SimSun" w:hAnsi="SimSun" w:cs="SimSun"/>
          <w:sz w:val="21"/>
          <w:szCs w:val="21"/>
        </w:rPr>
        <w:t>考点考查：侵权责任</w:t>
      </w:r>
    </w:p>
    <w:p>
      <w:pPr>
        <w:widowControl w:val="0"/>
        <w:spacing w:before="0" w:after="0" w:line="360" w:lineRule="auto"/>
        <w:jc w:val="both"/>
        <w:rPr>
          <w:sz w:val="21"/>
          <w:szCs w:val="21"/>
        </w:rPr>
      </w:pPr>
      <w:r>
        <w:rPr>
          <w:rFonts w:ascii="SimSun" w:eastAsia="SimSun" w:hAnsi="SimSun" w:cs="SimSun"/>
          <w:sz w:val="21"/>
          <w:szCs w:val="21"/>
        </w:rPr>
        <w:t>能力考查：描述和阐释事物</w:t>
      </w:r>
    </w:p>
    <w:p>
      <w:pPr>
        <w:widowControl w:val="0"/>
        <w:spacing w:before="0" w:after="0" w:line="360" w:lineRule="auto"/>
        <w:rPr>
          <w:sz w:val="21"/>
          <w:szCs w:val="21"/>
        </w:rPr>
      </w:pPr>
      <w:r>
        <w:rPr>
          <w:rFonts w:ascii="SimSun" w:eastAsia="SimSun" w:hAnsi="SimSun" w:cs="SimSun"/>
          <w:sz w:val="21"/>
          <w:szCs w:val="21"/>
        </w:rPr>
        <w:t>核心素养：政治认同、科学精神、法治意识</w:t>
      </w:r>
    </w:p>
    <w:p>
      <w:pPr>
        <w:widowControl w:val="0"/>
        <w:spacing w:before="0" w:after="0" w:line="360" w:lineRule="auto"/>
        <w:jc w:val="both"/>
        <w:rPr>
          <w:sz w:val="21"/>
          <w:szCs w:val="21"/>
        </w:rPr>
      </w:pPr>
      <w:r>
        <w:rPr>
          <w:rFonts w:ascii="SimSun" w:eastAsia="SimSun" w:hAnsi="SimSun" w:cs="SimSun"/>
          <w:sz w:val="21"/>
          <w:szCs w:val="21"/>
        </w:rPr>
        <w:t>【详解】第一步：审设问。明确主体、知识范围、问题限定和作答角度。</w:t>
      </w:r>
    </w:p>
    <w:p>
      <w:pPr>
        <w:widowControl w:val="0"/>
        <w:spacing w:before="0" w:after="0" w:line="360" w:lineRule="auto"/>
        <w:jc w:val="both"/>
        <w:rPr>
          <w:sz w:val="21"/>
          <w:szCs w:val="21"/>
        </w:rPr>
      </w:pPr>
      <w:r>
        <w:rPr>
          <w:rFonts w:ascii="SimSun" w:eastAsia="SimSun" w:hAnsi="SimSun" w:cs="SimSun"/>
          <w:sz w:val="21"/>
          <w:szCs w:val="21"/>
        </w:rPr>
        <w:t>本题为说明类主观题，要求运用《法律与生活》的知识，对上述案例分别予以分析，从侵权责任的角度分析。</w:t>
      </w:r>
    </w:p>
    <w:p>
      <w:pPr>
        <w:widowControl w:val="0"/>
        <w:spacing w:before="0" w:after="0" w:line="360" w:lineRule="auto"/>
        <w:jc w:val="both"/>
        <w:rPr>
          <w:sz w:val="21"/>
          <w:szCs w:val="21"/>
        </w:rPr>
      </w:pPr>
      <w:r>
        <w:rPr>
          <w:rFonts w:ascii="SimSun" w:eastAsia="SimSun" w:hAnsi="SimSun" w:cs="SimSun"/>
          <w:sz w:val="21"/>
          <w:szCs w:val="21"/>
        </w:rPr>
        <w:t>第二步：审材料。提取关键词，链接教材知识。</w:t>
      </w:r>
    </w:p>
    <w:p>
      <w:pPr>
        <w:widowControl w:val="0"/>
        <w:spacing w:before="0" w:after="0" w:line="360" w:lineRule="auto"/>
        <w:jc w:val="both"/>
        <w:rPr>
          <w:sz w:val="21"/>
          <w:szCs w:val="21"/>
        </w:rPr>
      </w:pPr>
      <w:r>
        <w:rPr>
          <w:rFonts w:ascii="SimSun" w:eastAsia="SimSun" w:hAnsi="SimSun" w:cs="SimSun"/>
          <w:sz w:val="21"/>
          <w:szCs w:val="21"/>
        </w:rPr>
        <w:t>关键词①：在到达电扶梯出口处，因电扶梯比出口处地面低，购物率不能正常推动，致蒋女士跌倒；宾馆、</w:t>
      </w:r>
      <w:r>
        <w:rPr>
          <w:strike w:val="0"/>
          <w:sz w:val="21"/>
          <w:szCs w:val="21"/>
          <w:u w:val="none"/>
        </w:rPr>
        <w:drawing>
          <wp:inline>
            <wp:extent cx="28575" cy="28575"/>
            <wp:docPr id="100205" name="" descr="page numb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5"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jc w:val="both"/>
        <w:rPr>
          <w:sz w:val="21"/>
          <w:szCs w:val="21"/>
        </w:rPr>
      </w:pPr>
      <w:r>
        <w:rPr>
          <w:rFonts w:ascii="SimSun" w:eastAsia="SimSun" w:hAnsi="SimSun" w:cs="SimSun"/>
          <w:sz w:val="21"/>
          <w:szCs w:val="21"/>
        </w:rPr>
        <w:t>商场、银行、车站、娱乐场所等公共场所的经营者、管理者或者群众性活动的组织者，未尽到安全保障义务，造成他人损害的，应当承担侵权责任→可联系侵权责任的构成要件。</w:t>
      </w:r>
    </w:p>
    <w:p>
      <w:pPr>
        <w:widowControl w:val="0"/>
        <w:spacing w:before="0" w:after="0" w:line="360" w:lineRule="auto"/>
        <w:jc w:val="both"/>
        <w:rPr>
          <w:sz w:val="21"/>
          <w:szCs w:val="21"/>
        </w:rPr>
      </w:pPr>
      <w:r>
        <w:rPr>
          <w:rFonts w:ascii="SimSun" w:eastAsia="SimSun" w:hAnsi="SimSun" w:cs="SimSun"/>
          <w:sz w:val="21"/>
          <w:szCs w:val="21"/>
        </w:rPr>
        <w:t>关键词②：赵女士到某菜市场买菜，不留神踩着地上一个莴笋头，当即摔倒在地，经医院诊断为头颈部外伤及多处软组织损伤；被侵权人对同一损害的发生或者扩大有过错的，可以减轻侵权人的责任→可联系侵权责任的构成要件及被侵权人责任。</w:t>
      </w:r>
    </w:p>
    <w:p>
      <w:pPr>
        <w:widowControl w:val="0"/>
        <w:spacing w:before="0" w:after="0" w:line="360" w:lineRule="auto"/>
        <w:rPr>
          <w:sz w:val="21"/>
          <w:szCs w:val="21"/>
        </w:rPr>
      </w:pPr>
      <w:r>
        <w:rPr>
          <w:rFonts w:ascii="SimSun" w:eastAsia="SimSun" w:hAnsi="SimSun" w:cs="SimSun"/>
          <w:sz w:val="21"/>
          <w:szCs w:val="21"/>
        </w:rPr>
        <w:t>第三步：整合信息，组织答案。注意设问限定以及教材知识与材料、时政信息等相结合。</w:t>
      </w:r>
    </w:p>
    <w:p>
      <w:pPr>
        <w:widowControl w:val="0"/>
        <w:spacing w:before="0" w:after="0" w:line="360" w:lineRule="auto"/>
        <w:rPr>
          <w:sz w:val="21"/>
          <w:szCs w:val="21"/>
        </w:rPr>
      </w:pPr>
      <w:r>
        <w:rPr>
          <w:sz w:val="21"/>
          <w:szCs w:val="21"/>
        </w:rPr>
        <w:t xml:space="preserve">20. </w:t>
      </w:r>
      <w:r>
        <w:rPr>
          <w:rFonts w:ascii="SimSun" w:eastAsia="SimSun" w:hAnsi="SimSun" w:cs="SimSun"/>
          <w:sz w:val="21"/>
          <w:szCs w:val="21"/>
        </w:rPr>
        <w:t>阅读材料，完成下列要求。</w:t>
      </w:r>
    </w:p>
    <w:p>
      <w:pPr>
        <w:widowControl w:val="0"/>
        <w:spacing w:before="0" w:after="0" w:line="360" w:lineRule="auto"/>
        <w:ind w:firstLine="420"/>
        <w:jc w:val="both"/>
        <w:rPr>
          <w:sz w:val="21"/>
          <w:szCs w:val="21"/>
        </w:rPr>
      </w:pPr>
      <w:r>
        <w:rPr>
          <w:rFonts w:ascii="KaiTi" w:eastAsia="KaiTi" w:hAnsi="KaiTi" w:cs="KaiTi"/>
          <w:sz w:val="21"/>
          <w:szCs w:val="21"/>
        </w:rPr>
        <w:t>怀化市安江镇，是世界稻作文明和杂交水稻的发源地。</w:t>
      </w:r>
    </w:p>
    <w:p>
      <w:pPr>
        <w:widowControl w:val="0"/>
        <w:spacing w:before="0" w:after="0" w:line="360" w:lineRule="auto"/>
        <w:ind w:firstLine="420"/>
        <w:jc w:val="both"/>
        <w:rPr>
          <w:sz w:val="21"/>
          <w:szCs w:val="21"/>
        </w:rPr>
      </w:pPr>
      <w:r>
        <w:rPr>
          <w:rFonts w:ascii="KaiTi" w:eastAsia="KaiTi" w:hAnsi="KaiTi" w:cs="KaiTi"/>
          <w:sz w:val="21"/>
          <w:szCs w:val="21"/>
        </w:rPr>
        <w:t>7800年前，湖南安江高庙先民在此繁衍生息，创造了灿烂的高庙文化。高庙遗址保护利用中心，稻谷等展品，宛如一部无字史书，向人们展示着数千年前先民们刀耕火种、筚路蓝缕的智慧和勤劳，又如同一把“密钥”，打开了通往远古农耕文明的神秘之门。70年前，青年袁隆平踏进与高庙遗址隔江相望的安江农校，在这里工作生活了37年，成功培育出第一株杂交水稻，创造了“一粒种子改变世界”的当代传奇。“上下七千年，古今两神农”。碳化稻谷粒与杂交水稻，远古与当下，厚重的农耕文化在岁月的长河中不断沉淀积累。</w:t>
      </w:r>
    </w:p>
    <w:p>
      <w:pPr>
        <w:widowControl w:val="0"/>
        <w:spacing w:before="0" w:after="0" w:line="360" w:lineRule="auto"/>
        <w:ind w:firstLine="420"/>
        <w:jc w:val="both"/>
        <w:rPr>
          <w:sz w:val="21"/>
          <w:szCs w:val="21"/>
        </w:rPr>
      </w:pPr>
      <w:r>
        <w:rPr>
          <w:rFonts w:ascii="KaiTi" w:eastAsia="KaiTi" w:hAnsi="KaiTi" w:cs="KaiTi"/>
          <w:sz w:val="21"/>
          <w:szCs w:val="21"/>
        </w:rPr>
        <w:t>如今，在这片土地上，“一粒种子”的传承仍在持续。从传统的耕作方式到现代化的农业技术，从单一的种植结构到多元化的农业产业，与乡村振兴战略同频共振，这里的农耕文化和农业生产正在经历着新发展——“一粒种子”在这里逐渐长成“世界稻都”。</w:t>
      </w:r>
    </w:p>
    <w:p>
      <w:pPr>
        <w:widowControl w:val="0"/>
        <w:spacing w:before="0" w:after="0" w:line="360" w:lineRule="auto"/>
        <w:rPr>
          <w:sz w:val="21"/>
          <w:szCs w:val="21"/>
        </w:rPr>
      </w:pPr>
      <w:r>
        <w:rPr>
          <w:rFonts w:ascii="SimSun" w:eastAsia="SimSun" w:hAnsi="SimSun" w:cs="SimSun"/>
          <w:sz w:val="21"/>
          <w:szCs w:val="21"/>
        </w:rPr>
        <w:t>（</w:t>
      </w:r>
      <w:r>
        <w:rPr>
          <w:sz w:val="21"/>
          <w:szCs w:val="21"/>
        </w:rPr>
        <w:t>1</w:t>
      </w:r>
      <w:r>
        <w:rPr>
          <w:rFonts w:ascii="SimSun" w:eastAsia="SimSun" w:hAnsi="SimSun" w:cs="SimSun"/>
          <w:sz w:val="21"/>
          <w:szCs w:val="21"/>
        </w:rPr>
        <w:t>）结合材料，运用“文化传承与文化创新”知识，阐释安江的每一粒种子都承载着厚重的历史与未来。</w:t>
      </w:r>
    </w:p>
    <w:p>
      <w:pPr>
        <w:widowControl w:val="0"/>
        <w:spacing w:before="0" w:after="0" w:line="360" w:lineRule="auto"/>
        <w:rPr>
          <w:sz w:val="21"/>
          <w:szCs w:val="21"/>
        </w:rPr>
      </w:pPr>
      <w:r>
        <w:rPr>
          <w:rFonts w:ascii="SimSun" w:eastAsia="SimSun" w:hAnsi="SimSun" w:cs="SimSun"/>
          <w:sz w:val="21"/>
          <w:szCs w:val="21"/>
        </w:rPr>
        <w:t>（</w:t>
      </w:r>
      <w:r>
        <w:rPr>
          <w:sz w:val="21"/>
          <w:szCs w:val="21"/>
        </w:rPr>
        <w:t>2</w:t>
      </w:r>
      <w:r>
        <w:rPr>
          <w:rFonts w:ascii="SimSun" w:eastAsia="SimSun" w:hAnsi="SimSun" w:cs="SimSun"/>
          <w:sz w:val="21"/>
          <w:szCs w:val="21"/>
        </w:rPr>
        <w:t>）“一粒种子”在这里逐渐长成“世界稻都”。结合材料，运用联系的特征的有关知识对此加以说明。</w:t>
      </w:r>
    </w:p>
    <w:p>
      <w:pPr>
        <w:widowControl w:val="0"/>
        <w:spacing w:before="0" w:after="0" w:line="360" w:lineRule="auto"/>
        <w:jc w:val="both"/>
        <w:rPr>
          <w:sz w:val="21"/>
          <w:szCs w:val="21"/>
        </w:rPr>
      </w:pPr>
      <w:r>
        <w:rPr>
          <w:rFonts w:ascii="SimSun" w:eastAsia="SimSun" w:hAnsi="SimSun" w:cs="SimSun"/>
          <w:color w:val="2E75B6"/>
          <w:sz w:val="21"/>
          <w:szCs w:val="21"/>
        </w:rPr>
        <w:t>【答案】</w:t>
      </w:r>
      <w:r>
        <w:rPr>
          <w:rFonts w:ascii="SimSun" w:eastAsia="SimSun" w:hAnsi="SimSun" w:cs="SimSun"/>
          <w:sz w:val="21"/>
          <w:szCs w:val="21"/>
        </w:rPr>
        <w:t>（</w:t>
      </w:r>
      <w:r>
        <w:rPr>
          <w:sz w:val="21"/>
          <w:szCs w:val="21"/>
        </w:rPr>
        <w:t>1</w:t>
      </w:r>
      <w:r>
        <w:rPr>
          <w:rFonts w:ascii="SimSun" w:eastAsia="SimSun" w:hAnsi="SimSun" w:cs="SimSun"/>
          <w:sz w:val="21"/>
          <w:szCs w:val="21"/>
        </w:rPr>
        <w:t>）文化要通过载体呈现出来，安江的每一粒种子承载、表达和展现着博大精深、源远流长的中华农耕文化。继承是发展的基础，继承和弘扬中华优秀传统文化，推动中华优秀传统文化的创造性转化和创新性发展，赋予其新的时代内涵。安江的每一粒种子都见证了人类早期农耕文明的曙光，编织了杂交水稻的摇篮，滋养了现代农业的繁荣与发展。</w:t>
      </w:r>
      <w:r>
        <w:rPr>
          <w:rFonts w:ascii="SimSun" w:eastAsia="SimSun" w:hAnsi="SimSun" w:cs="SimSun"/>
          <w:sz w:val="21"/>
          <w:szCs w:val="21"/>
        </w:rPr>
        <w:t xml:space="preserve">    </w:t>
      </w:r>
    </w:p>
    <w:p>
      <w:pPr>
        <w:widowControl w:val="0"/>
        <w:spacing w:before="0" w:after="0" w:line="360" w:lineRule="auto"/>
        <w:jc w:val="both"/>
        <w:rPr>
          <w:sz w:val="21"/>
          <w:szCs w:val="21"/>
        </w:rPr>
      </w:pPr>
      <w:r>
        <w:rPr>
          <w:rFonts w:ascii="SimSun" w:eastAsia="SimSun" w:hAnsi="SimSun" w:cs="SimSun"/>
          <w:sz w:val="21"/>
          <w:szCs w:val="21"/>
        </w:rPr>
        <w:t>（</w:t>
      </w:r>
      <w:r>
        <w:rPr>
          <w:sz w:val="21"/>
          <w:szCs w:val="21"/>
        </w:rPr>
        <w:t>2</w:t>
      </w:r>
      <w:r>
        <w:rPr>
          <w:rFonts w:ascii="SimSun" w:eastAsia="SimSun" w:hAnsi="SimSun" w:cs="SimSun"/>
          <w:sz w:val="21"/>
          <w:szCs w:val="21"/>
        </w:rPr>
        <w:t>）联系是普遍的、客观的、多样的，要根据固有的联系建立新的具体的联系，善于分析和把握事物存在和发展的各种条件。湖南安江依托本地农耕文化资源条件，随着时代的变迁，与乡村振兴战略同频共振，“一粒种子”在这里逐渐长成“世界稻都”。</w:t>
      </w:r>
    </w:p>
    <w:p>
      <w:pPr>
        <w:widowControl w:val="0"/>
        <w:spacing w:before="0" w:after="0" w:line="360" w:lineRule="auto"/>
        <w:jc w:val="both"/>
        <w:rPr>
          <w:sz w:val="21"/>
          <w:szCs w:val="21"/>
        </w:rPr>
      </w:pPr>
      <w:r>
        <w:rPr>
          <w:rFonts w:ascii="SimSun" w:eastAsia="SimSun" w:hAnsi="SimSun" w:cs="SimSun"/>
          <w:color w:val="2E75B6"/>
          <w:sz w:val="21"/>
          <w:szCs w:val="21"/>
        </w:rPr>
        <w:t>【解析】</w:t>
      </w:r>
    </w:p>
    <w:p>
      <w:pPr>
        <w:widowControl w:val="0"/>
        <w:spacing w:before="0" w:after="0" w:line="360" w:lineRule="auto"/>
        <w:rPr>
          <w:sz w:val="21"/>
          <w:szCs w:val="21"/>
        </w:rPr>
      </w:pPr>
      <w:r>
        <w:rPr>
          <w:rFonts w:ascii="SimSun" w:eastAsia="SimSun" w:hAnsi="SimSun" w:cs="SimSun"/>
          <w:sz w:val="21"/>
          <w:szCs w:val="21"/>
        </w:rPr>
        <w:t>【分析】背景材料：安江镇是世界稻作文明和杂交水稻的发源地</w:t>
      </w:r>
    </w:p>
    <w:p>
      <w:pPr>
        <w:widowControl w:val="0"/>
        <w:spacing w:before="0" w:after="0" w:line="360" w:lineRule="auto"/>
        <w:rPr>
          <w:sz w:val="21"/>
          <w:szCs w:val="21"/>
        </w:rPr>
      </w:pPr>
      <w:r>
        <w:rPr>
          <w:rFonts w:ascii="SimSun" w:eastAsia="SimSun" w:hAnsi="SimSun" w:cs="SimSun"/>
          <w:sz w:val="21"/>
          <w:szCs w:val="21"/>
        </w:rPr>
        <w:t>考点考查：文化传承与文化创新、联系的特征的知识</w:t>
      </w:r>
      <w:r>
        <w:rPr>
          <w:strike w:val="0"/>
          <w:sz w:val="21"/>
          <w:szCs w:val="21"/>
          <w:u w:val="none"/>
        </w:rPr>
        <w:drawing>
          <wp:inline>
            <wp:extent cx="28575" cy="28575"/>
            <wp:docPr id="100219" name="" descr="page number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9"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docGrid w:linePitch="360"/>
        </w:sectPr>
      </w:pPr>
    </w:p>
    <w:p>
      <w:pPr>
        <w:widowControl w:val="0"/>
        <w:spacing w:before="0" w:after="0" w:line="360" w:lineRule="auto"/>
        <w:rPr>
          <w:sz w:val="21"/>
          <w:szCs w:val="21"/>
        </w:rPr>
      </w:pPr>
      <w:r>
        <w:rPr>
          <w:rFonts w:ascii="SimSun" w:eastAsia="SimSun" w:hAnsi="SimSun" w:cs="SimSun"/>
          <w:sz w:val="21"/>
          <w:szCs w:val="21"/>
        </w:rPr>
        <w:t>能力考查：描述和阐释事物</w:t>
      </w:r>
    </w:p>
    <w:p>
      <w:pPr>
        <w:widowControl w:val="0"/>
        <w:spacing w:before="0" w:after="0" w:line="360" w:lineRule="auto"/>
        <w:rPr>
          <w:sz w:val="21"/>
          <w:szCs w:val="21"/>
        </w:rPr>
      </w:pPr>
      <w:r>
        <w:rPr>
          <w:rFonts w:ascii="SimSun" w:eastAsia="SimSun" w:hAnsi="SimSun" w:cs="SimSun"/>
          <w:sz w:val="21"/>
          <w:szCs w:val="21"/>
        </w:rPr>
        <w:t>核心素养：政治认同、科学精神</w:t>
      </w:r>
    </w:p>
    <w:p>
      <w:pPr>
        <w:widowControl w:val="0"/>
        <w:spacing w:before="0" w:after="0" w:line="360" w:lineRule="auto"/>
        <w:rPr>
          <w:sz w:val="21"/>
          <w:szCs w:val="21"/>
        </w:rPr>
      </w:pPr>
      <w:r>
        <w:rPr>
          <w:rFonts w:ascii="SimSun" w:eastAsia="SimSun" w:hAnsi="SimSun" w:cs="SimSun"/>
          <w:sz w:val="21"/>
          <w:szCs w:val="21"/>
        </w:rPr>
        <w:t>【小问</w:t>
      </w:r>
      <w:r>
        <w:rPr>
          <w:sz w:val="21"/>
          <w:szCs w:val="21"/>
        </w:rPr>
        <w:t>1</w:t>
      </w:r>
      <w:r>
        <w:rPr>
          <w:rFonts w:ascii="SimSun" w:eastAsia="SimSun" w:hAnsi="SimSun" w:cs="SimSun"/>
          <w:sz w:val="21"/>
          <w:szCs w:val="21"/>
        </w:rPr>
        <w:t>详解】</w:t>
      </w:r>
    </w:p>
    <w:p>
      <w:pPr>
        <w:widowControl w:val="0"/>
        <w:spacing w:before="0" w:after="0" w:line="360" w:lineRule="auto"/>
        <w:rPr>
          <w:sz w:val="21"/>
          <w:szCs w:val="21"/>
        </w:rPr>
      </w:pPr>
      <w:r>
        <w:rPr>
          <w:rFonts w:ascii="SimSun" w:eastAsia="SimSun" w:hAnsi="SimSun" w:cs="SimSun"/>
          <w:sz w:val="21"/>
          <w:szCs w:val="21"/>
        </w:rPr>
        <w:t>第一步：审设问。明确主体、知识范围、问题限定和作答角度。</w:t>
      </w:r>
    </w:p>
    <w:p>
      <w:pPr>
        <w:widowControl w:val="0"/>
        <w:spacing w:before="0" w:after="0" w:line="360" w:lineRule="auto"/>
        <w:rPr>
          <w:sz w:val="21"/>
          <w:szCs w:val="21"/>
        </w:rPr>
      </w:pPr>
      <w:r>
        <w:rPr>
          <w:rFonts w:ascii="SimSun" w:eastAsia="SimSun" w:hAnsi="SimSun" w:cs="SimSun"/>
          <w:sz w:val="21"/>
          <w:szCs w:val="21"/>
        </w:rPr>
        <w:t>本题为阐释类试题，设问要求为阐释安江的每一粒种子都承载着厚重的历史与未来。需要运用文化传承与文化创新的知识分析作答。</w:t>
      </w:r>
    </w:p>
    <w:p>
      <w:pPr>
        <w:widowControl w:val="0"/>
        <w:spacing w:before="0" w:after="0" w:line="360" w:lineRule="auto"/>
        <w:rPr>
          <w:sz w:val="21"/>
          <w:szCs w:val="21"/>
        </w:rPr>
      </w:pPr>
      <w:r>
        <w:rPr>
          <w:rFonts w:ascii="SimSun" w:eastAsia="SimSun" w:hAnsi="SimSun" w:cs="SimSun"/>
          <w:sz w:val="21"/>
          <w:szCs w:val="21"/>
        </w:rPr>
        <w:t>第二步：审材料。提取关键词，链接教材知识。</w:t>
      </w:r>
    </w:p>
    <w:p>
      <w:pPr>
        <w:widowControl w:val="0"/>
        <w:spacing w:before="0" w:after="0" w:line="360" w:lineRule="auto"/>
        <w:rPr>
          <w:sz w:val="21"/>
          <w:szCs w:val="21"/>
        </w:rPr>
      </w:pPr>
      <w:r>
        <w:rPr>
          <w:rFonts w:ascii="SimSun" w:eastAsia="SimSun" w:hAnsi="SimSun" w:cs="SimSun"/>
          <w:sz w:val="21"/>
          <w:szCs w:val="21"/>
        </w:rPr>
        <w:t>关键词①：高庙遗址保护利用中心，稻谷等展品，宛如一部无字史书，向人们展示着数千年前先民们刀耕火种、筚路蓝缕的智慧和勤劳，又如同一把“密钥”，打开了通往远古农耕文明的神秘之门→可联系文化的载体，以及中华优秀传统文化的特点。</w:t>
      </w:r>
    </w:p>
    <w:p>
      <w:pPr>
        <w:widowControl w:val="0"/>
        <w:spacing w:before="0" w:after="0" w:line="360" w:lineRule="auto"/>
        <w:rPr>
          <w:sz w:val="21"/>
          <w:szCs w:val="21"/>
        </w:rPr>
      </w:pPr>
      <w:r>
        <w:rPr>
          <w:rFonts w:ascii="SimSun" w:eastAsia="SimSun" w:hAnsi="SimSun" w:cs="SimSun"/>
          <w:sz w:val="21"/>
          <w:szCs w:val="21"/>
        </w:rPr>
        <w:t>关键词②：“一粒种子”的传承仍在持续。从传统的耕作方式到现代化的农业技术，从单一的种植结构到多元化的农业产业，“一粒种子”在这里逐渐长成“世界稻都”→可联系中华优秀传统文化的创造性转化和创新性发展。</w:t>
      </w:r>
    </w:p>
    <w:p>
      <w:pPr>
        <w:widowControl w:val="0"/>
        <w:spacing w:before="0" w:after="0" w:line="360" w:lineRule="auto"/>
        <w:rPr>
          <w:sz w:val="21"/>
          <w:szCs w:val="21"/>
        </w:rPr>
      </w:pPr>
      <w:r>
        <w:rPr>
          <w:rFonts w:ascii="SimSun" w:eastAsia="SimSun" w:hAnsi="SimSun" w:cs="SimSun"/>
          <w:sz w:val="21"/>
          <w:szCs w:val="21"/>
        </w:rPr>
        <w:t>第三步：整合信息，组织答案。注意设问限定以及教材知识与材料、时政信息等相结合。</w:t>
      </w:r>
    </w:p>
    <w:p>
      <w:pPr>
        <w:widowControl w:val="0"/>
        <w:spacing w:before="0" w:after="0" w:line="360" w:lineRule="auto"/>
        <w:rPr>
          <w:sz w:val="21"/>
          <w:szCs w:val="21"/>
        </w:rPr>
      </w:pPr>
      <w:r>
        <w:rPr>
          <w:rFonts w:ascii="SimSun" w:eastAsia="SimSun" w:hAnsi="SimSun" w:cs="SimSun"/>
          <w:sz w:val="21"/>
          <w:szCs w:val="21"/>
        </w:rPr>
        <w:t>【小问</w:t>
      </w:r>
      <w:r>
        <w:rPr>
          <w:sz w:val="21"/>
          <w:szCs w:val="21"/>
        </w:rPr>
        <w:t>2</w:t>
      </w:r>
      <w:r>
        <w:rPr>
          <w:rFonts w:ascii="SimSun" w:eastAsia="SimSun" w:hAnsi="SimSun" w:cs="SimSun"/>
          <w:sz w:val="21"/>
          <w:szCs w:val="21"/>
        </w:rPr>
        <w:t>详解】</w:t>
      </w:r>
    </w:p>
    <w:p>
      <w:pPr>
        <w:widowControl w:val="0"/>
        <w:spacing w:before="0" w:after="0" w:line="360" w:lineRule="auto"/>
        <w:rPr>
          <w:sz w:val="21"/>
          <w:szCs w:val="21"/>
        </w:rPr>
      </w:pPr>
      <w:r>
        <w:rPr>
          <w:rFonts w:ascii="SimSun" w:eastAsia="SimSun" w:hAnsi="SimSun" w:cs="SimSun"/>
          <w:sz w:val="21"/>
          <w:szCs w:val="21"/>
        </w:rPr>
        <w:t>第一步：审设问</w:t>
      </w:r>
      <w:r>
        <w:rPr>
          <w:strike w:val="0"/>
          <w:sz w:val="21"/>
          <w:szCs w:val="21"/>
          <w:u w:val="none"/>
        </w:rPr>
        <w:drawing>
          <wp:inline>
            <wp:extent cx="133350" cy="76200"/>
            <wp:docPr id="1002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3" name=""/>
                    <pic:cNvPicPr>
                      <a:picLocks noChangeAspect="1"/>
                    </pic:cNvPicPr>
                  </pic:nvPicPr>
                  <pic:blipFill>
                    <a:blip xmlns:r="http://schemas.openxmlformats.org/officeDocument/2006/relationships" r:embed="rId24"/>
                    <a:stretch>
                      <a:fillRect/>
                    </a:stretch>
                  </pic:blipFill>
                  <pic:spPr>
                    <a:xfrm>
                      <a:off x="0" y="0"/>
                      <a:ext cx="133350" cy="76200"/>
                    </a:xfrm>
                    <a:prstGeom prst="rect">
                      <a:avLst/>
                    </a:prstGeom>
                  </pic:spPr>
                </pic:pic>
              </a:graphicData>
            </a:graphic>
          </wp:inline>
        </w:drawing>
      </w:r>
      <w:r>
        <w:rPr>
          <w:rFonts w:ascii="SimSun" w:eastAsia="SimSun" w:hAnsi="SimSun" w:cs="SimSun"/>
          <w:sz w:val="21"/>
          <w:szCs w:val="21"/>
        </w:rPr>
        <w:t>明确主体、知识范围、问题限定和作答角度。</w:t>
      </w:r>
    </w:p>
    <w:p>
      <w:pPr>
        <w:widowControl w:val="0"/>
        <w:spacing w:before="0" w:after="0" w:line="360" w:lineRule="auto"/>
        <w:rPr>
          <w:sz w:val="21"/>
          <w:szCs w:val="21"/>
        </w:rPr>
      </w:pPr>
      <w:r>
        <w:rPr>
          <w:rFonts w:ascii="SimSun" w:eastAsia="SimSun" w:hAnsi="SimSun" w:cs="SimSun"/>
          <w:sz w:val="21"/>
          <w:szCs w:val="21"/>
        </w:rPr>
        <w:t>本题为说明类试题，设问要求为运用联系的特征的有关知识对“一粒种子”在这里逐渐长成“世界稻都”加以说明。需要运用联系的特征的知识分析作答。</w:t>
      </w:r>
    </w:p>
    <w:p>
      <w:pPr>
        <w:widowControl w:val="0"/>
        <w:spacing w:before="0" w:after="0" w:line="360" w:lineRule="auto"/>
        <w:rPr>
          <w:sz w:val="21"/>
          <w:szCs w:val="21"/>
        </w:rPr>
      </w:pPr>
      <w:r>
        <w:rPr>
          <w:rFonts w:ascii="SimSun" w:eastAsia="SimSun" w:hAnsi="SimSun" w:cs="SimSun"/>
          <w:sz w:val="21"/>
          <w:szCs w:val="21"/>
        </w:rPr>
        <w:t>第二步：审材料。提取关键词，链接教材知识。</w:t>
      </w:r>
    </w:p>
    <w:p>
      <w:pPr>
        <w:widowControl w:val="0"/>
        <w:spacing w:before="0" w:after="0" w:line="360" w:lineRule="auto"/>
        <w:rPr>
          <w:sz w:val="21"/>
          <w:szCs w:val="21"/>
        </w:rPr>
      </w:pPr>
      <w:r>
        <w:rPr>
          <w:rFonts w:ascii="SimSun" w:eastAsia="SimSun" w:hAnsi="SimSun" w:cs="SimSun"/>
          <w:sz w:val="21"/>
          <w:szCs w:val="21"/>
        </w:rPr>
        <w:t>关键词：湖南安江依托本地农耕文化资源条件，随着时代的变迁,与乡村振兴战略同频共振，“一粒种子”在这里逐渐长成“世界稻都”→可联系联系是普遍的、客观的、多样的，及其方法论。</w:t>
      </w:r>
    </w:p>
    <w:p>
      <w:pPr>
        <w:widowControl w:val="0"/>
        <w:spacing w:before="0" w:after="0" w:line="360" w:lineRule="auto"/>
        <w:rPr>
          <w:sz w:val="21"/>
          <w:szCs w:val="21"/>
        </w:rPr>
      </w:pPr>
      <w:r>
        <w:rPr>
          <w:rFonts w:ascii="SimSun" w:eastAsia="SimSun" w:hAnsi="SimSun" w:cs="SimSun"/>
          <w:sz w:val="21"/>
          <w:szCs w:val="21"/>
        </w:rPr>
        <w:t>第三步：整合信息，组织答案。注意设问限定以及教材知识与材料、时政信息等相结合。</w:t>
      </w:r>
      <w:r>
        <w:rPr>
          <w:strike w:val="0"/>
          <w:sz w:val="21"/>
          <w:szCs w:val="21"/>
          <w:u w:val="none"/>
        </w:rPr>
        <w:drawing>
          <wp:inline>
            <wp:extent cx="28575" cy="28575"/>
            <wp:docPr id="100235" name="" descr="page number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5" name=""/>
                    <pic:cNvPicPr>
                      <a:picLocks noChangeAspect="1"/>
                    </pic:cNvPicPr>
                  </pic:nvPicPr>
                  <pic:blipFill>
                    <a:blip xmlns:r="http://schemas.openxmlformats.org/officeDocument/2006/relationships" r:embed="rId5"/>
                    <a:stretch>
                      <a:fillRect/>
                    </a:stretch>
                  </pic:blipFill>
                  <pic:spPr>
                    <a:xfrm>
                      <a:off x="0" y="0"/>
                      <a:ext cx="28575" cy="28575"/>
                    </a:xfrm>
                    <a:prstGeom prst="rect">
                      <a:avLst/>
                    </a:prstGeom>
                  </pic:spPr>
                </pic:pic>
              </a:graphicData>
            </a:graphic>
          </wp:inline>
        </w:drawing>
      </w:r>
    </w:p>
    <w:sectPr>
      <w:type w:val="continuous"/>
      <w:pgSz w:w="11927" w:h="16875"/>
      <w:pgMar w:top="800" w:right="1120" w:bottom="540" w:left="11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9.png"/><Relationship Id="rId2" Type="http://schemas.openxmlformats.org/officeDocument/2006/relationships/webSettings" Target="webSettings.xml"/><Relationship Id="rId24" Type="http://schemas.openxmlformats.org/officeDocument/2006/relationships/image" Target="media/image10.png"/><Relationship Id="rId26" Type="http://schemas.openxmlformats.org/officeDocument/2006/relationships/theme" Target="theme/theme1.xml"/><Relationship Id="rId27"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image" Target="media/image1.png"/><Relationship Id="rId5" Type="http://schemas.openxmlformats.org/officeDocument/2006/relationships/image" Target="media/image2.png"/><Relationship Id="rId9"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