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286" w:lineRule="auto"/>
      </w:pPr>
      <w:r>
        <w:rPr>
          <w:strike w:val="0"/>
          <w:u w:val="none"/>
        </w:rPr>
        <w:drawing>
          <wp:anchor simplePos="0" relativeHeight="251658240" behindDoc="0" locked="0" layoutInCell="1" allowOverlap="1">
            <wp:simplePos x="0" y="0"/>
            <wp:positionH relativeFrom="page">
              <wp:posOffset>12496800</wp:posOffset>
            </wp:positionH>
            <wp:positionV relativeFrom="topMargin">
              <wp:posOffset>12471400</wp:posOffset>
            </wp:positionV>
            <wp:extent cx="447675" cy="3714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47675" cy="371475"/>
                    </a:xfrm>
                    <a:prstGeom prst="rect">
                      <a:avLst/>
                    </a:prstGeom>
                  </pic:spPr>
                </pic:pic>
              </a:graphicData>
            </a:graphic>
          </wp:anchor>
        </w:drawing>
      </w:r>
      <w:r>
        <w:rPr>
          <w:rFonts w:ascii="SimSun" w:eastAsia="SimSun" w:hAnsi="SimSun" w:cs="SimSun"/>
          <w:b/>
          <w:bCs/>
        </w:rPr>
        <w:t>参照机密级管理★启用前</w:t>
      </w:r>
    </w:p>
    <w:p>
      <w:pPr>
        <w:widowControl w:val="0"/>
        <w:spacing w:before="0" w:after="0" w:line="286" w:lineRule="auto"/>
        <w:jc w:val="center"/>
        <w:rPr>
          <w:sz w:val="32"/>
          <w:szCs w:val="32"/>
        </w:rPr>
      </w:pP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286" w:lineRule="auto"/>
        <w:jc w:val="center"/>
        <w:rPr>
          <w:sz w:val="32"/>
          <w:szCs w:val="32"/>
        </w:rPr>
      </w:pPr>
      <w:r>
        <w:rPr>
          <w:rFonts w:ascii="SimSun" w:eastAsia="SimSun" w:hAnsi="SimSun" w:cs="SimSun"/>
          <w:b/>
          <w:bCs/>
          <w:sz w:val="32"/>
          <w:szCs w:val="32"/>
        </w:rPr>
        <w:t>思想政治</w:t>
      </w:r>
    </w:p>
    <w:p>
      <w:pPr>
        <w:widowControl w:val="0"/>
        <w:spacing w:before="0" w:after="0" w:line="286" w:lineRule="auto"/>
      </w:pPr>
      <w:r>
        <w:rPr>
          <w:rFonts w:ascii="SimSun" w:eastAsia="SimSun" w:hAnsi="SimSun" w:cs="SimSun"/>
          <w:b/>
          <w:bCs/>
        </w:rPr>
        <w:t>注意事项：</w:t>
      </w:r>
    </w:p>
    <w:p>
      <w:pPr>
        <w:widowControl w:val="0"/>
        <w:spacing w:before="0" w:after="0" w:line="286" w:lineRule="auto"/>
      </w:pPr>
      <w:r>
        <w:rPr>
          <w:b/>
          <w:bCs/>
        </w:rPr>
        <w:t>1</w:t>
      </w:r>
      <w:r>
        <w:rPr>
          <w:rFonts w:ascii="SimSun" w:eastAsia="SimSun" w:hAnsi="SimSun" w:cs="SimSun"/>
          <w:b/>
          <w:bCs/>
        </w:rPr>
        <w:t>．答卷前，考生务必将自己的姓名、考生号等填写在答题卡上。</w:t>
      </w:r>
    </w:p>
    <w:p>
      <w:pPr>
        <w:widowControl w:val="0"/>
        <w:spacing w:before="0" w:after="0" w:line="286"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286" w:lineRule="auto"/>
      </w:pPr>
      <w:r>
        <w:rPr>
          <w:b/>
          <w:bCs/>
        </w:rPr>
        <w:t>3</w:t>
      </w:r>
      <w:r>
        <w:rPr>
          <w:rFonts w:ascii="SimSun" w:eastAsia="SimSun" w:hAnsi="SimSun" w:cs="SimSun"/>
          <w:b/>
          <w:bCs/>
        </w:rPr>
        <w:t>．考试结束后，将本试卷和答题卡一并交回。</w:t>
      </w:r>
    </w:p>
    <w:p>
      <w:pPr>
        <w:widowControl w:val="0"/>
        <w:spacing w:before="0" w:after="0" w:line="286" w:lineRule="auto"/>
      </w:pPr>
      <w:r>
        <w:rPr>
          <w:rFonts w:ascii="SimSun" w:eastAsia="SimSun" w:hAnsi="SimSun" w:cs="SimSun"/>
          <w:b/>
          <w:bCs/>
        </w:rPr>
        <w:t>一、选择题：本题共</w:t>
      </w:r>
      <w:r>
        <w:rPr>
          <w:b/>
          <w:bCs/>
        </w:rPr>
        <w:t>15</w:t>
      </w:r>
      <w:r>
        <w:rPr>
          <w:rFonts w:ascii="SimSun" w:eastAsia="SimSun" w:hAnsi="SimSun" w:cs="SimSun"/>
          <w:b/>
          <w:bCs/>
        </w:rPr>
        <w:t>小题，每小题</w:t>
      </w:r>
      <w:r>
        <w:rPr>
          <w:b/>
          <w:bCs/>
        </w:rPr>
        <w:t>3</w:t>
      </w:r>
      <w:r>
        <w:rPr>
          <w:rFonts w:ascii="SimSun" w:eastAsia="SimSun" w:hAnsi="SimSun" w:cs="SimSun"/>
          <w:b/>
          <w:bCs/>
        </w:rPr>
        <w:t>分，共</w:t>
      </w:r>
      <w:r>
        <w:rPr>
          <w:b/>
          <w:bCs/>
        </w:rPr>
        <w:t>45</w:t>
      </w:r>
      <w:r>
        <w:rPr>
          <w:rFonts w:ascii="SimSun" w:eastAsia="SimSun" w:hAnsi="SimSun" w:cs="SimSun"/>
          <w:b/>
          <w:bCs/>
        </w:rPr>
        <w:t>分。在每小题给出的四个选项中，只有一项是符合题目要求的。</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马克思、恩格斯在《共产党宣言》中指出，空想社会主义的著作“抨击现存社会的全部基础。因此，它们提供了启发工人觉悟的极为宝贵的材料。它们关于未来社会的积极的主张，……都只是表明要消灭阶级对立，而这种阶级对立在当时刚刚开始发展，它们所知道的只是这种对立的早期的、不明显的、不确定的形式”。可见，空想社会主义（</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①找到了变革资本主义社会最坚定的力量</w:t>
      </w:r>
    </w:p>
    <w:p>
      <w:pPr>
        <w:widowControl w:val="0"/>
        <w:spacing w:before="0" w:after="0" w:line="360" w:lineRule="auto"/>
        <w:rPr>
          <w:sz w:val="21"/>
          <w:szCs w:val="21"/>
        </w:rPr>
      </w:pPr>
      <w:r>
        <w:rPr>
          <w:rFonts w:ascii="SimSun" w:eastAsia="SimSun" w:hAnsi="SimSun" w:cs="SimSun"/>
          <w:sz w:val="21"/>
          <w:szCs w:val="21"/>
        </w:rPr>
        <w:t>②反映了当时社会中日益显现的阶级矛盾</w:t>
      </w:r>
    </w:p>
    <w:p>
      <w:pPr>
        <w:widowControl w:val="0"/>
        <w:spacing w:before="0" w:after="0" w:line="360" w:lineRule="auto"/>
        <w:rPr>
          <w:sz w:val="21"/>
          <w:szCs w:val="21"/>
        </w:rPr>
      </w:pPr>
      <w:r>
        <w:rPr>
          <w:rFonts w:ascii="SimSun" w:eastAsia="SimSun" w:hAnsi="SimSun" w:cs="SimSun"/>
          <w:sz w:val="21"/>
          <w:szCs w:val="21"/>
        </w:rPr>
        <w:t>③发现了资本主义社会一切矛盾和冲突的总根源</w:t>
      </w:r>
    </w:p>
    <w:p>
      <w:pPr>
        <w:widowControl w:val="0"/>
        <w:spacing w:before="0" w:after="0" w:line="360" w:lineRule="auto"/>
        <w:rPr>
          <w:sz w:val="21"/>
          <w:szCs w:val="21"/>
        </w:rPr>
      </w:pPr>
      <w:r>
        <w:rPr>
          <w:rFonts w:ascii="SimSun" w:eastAsia="SimSun" w:hAnsi="SimSun" w:cs="SimSun"/>
          <w:sz w:val="21"/>
          <w:szCs w:val="21"/>
        </w:rPr>
        <w:t>④对当时社会的批判为无产阶级提供了有益启发</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党的十一届三中全会以来，我国在改革中加强制度建设，解决了一个又一个问题，保障了经济快速发展和社会长期稳定。党的二十届三中全会深刻总结改革开放以来特别是新时代全面深化改革的宝贵经验，将“坚持以制度建设为主线”确定为进一步全面深化改革必须贯彻的一个重大原则。确定这一原则是基于（</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①制度优势是一个国家的最大优势</w:t>
      </w:r>
    </w:p>
    <w:p>
      <w:pPr>
        <w:widowControl w:val="0"/>
        <w:spacing w:before="0" w:after="0" w:line="360" w:lineRule="auto"/>
        <w:rPr>
          <w:sz w:val="21"/>
          <w:szCs w:val="21"/>
        </w:rPr>
      </w:pPr>
      <w:r>
        <w:rPr>
          <w:rFonts w:ascii="SimSun" w:eastAsia="SimSun" w:hAnsi="SimSun" w:cs="SimSun"/>
          <w:sz w:val="21"/>
          <w:szCs w:val="21"/>
        </w:rPr>
        <w:t>②中国特色社会主义各领域基础性制度框架基本确立</w:t>
      </w:r>
    </w:p>
    <w:p>
      <w:pPr>
        <w:widowControl w:val="0"/>
        <w:spacing w:before="0" w:after="0" w:line="360" w:lineRule="auto"/>
        <w:rPr>
          <w:sz w:val="21"/>
          <w:szCs w:val="21"/>
        </w:rPr>
      </w:pPr>
      <w:r>
        <w:rPr>
          <w:rFonts w:ascii="SimSun" w:eastAsia="SimSun" w:hAnsi="SimSun" w:cs="SimSun"/>
          <w:sz w:val="21"/>
          <w:szCs w:val="21"/>
        </w:rPr>
        <w:t>③制度建设是全面建设社会主义现代化国家</w:t>
      </w:r>
      <w:r>
        <w:rPr>
          <w:strike w:val="0"/>
          <w:sz w:val="21"/>
          <w:szCs w:val="21"/>
          <w:u w:val="none"/>
        </w:rPr>
        <w:drawing>
          <wp:inline>
            <wp:extent cx="133350" cy="180975"/>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首要任务</w:t>
      </w:r>
    </w:p>
    <w:p>
      <w:pPr>
        <w:widowControl w:val="0"/>
        <w:spacing w:before="0" w:after="0" w:line="360" w:lineRule="auto"/>
        <w:rPr>
          <w:sz w:val="21"/>
          <w:szCs w:val="21"/>
        </w:rPr>
      </w:pPr>
      <w:r>
        <w:rPr>
          <w:rFonts w:ascii="SimSun" w:eastAsia="SimSun" w:hAnsi="SimSun" w:cs="SimSun"/>
          <w:sz w:val="21"/>
          <w:szCs w:val="21"/>
        </w:rPr>
        <w:t>④制度是关系党和国家事业发展的根本性、全局性、稳定性、长期性的问题</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在外部环境更趋复杂严峻、国内经济下行压力有所加大的情况下，我国民营企业依然向好向新发展。下列图表反映了</w:t>
      </w:r>
      <w:r>
        <w:rPr>
          <w:sz w:val="21"/>
          <w:szCs w:val="21"/>
        </w:rPr>
        <w:t>2023</w:t>
      </w:r>
      <w:r>
        <w:rPr>
          <w:rFonts w:ascii="SimSun" w:eastAsia="SimSun" w:hAnsi="SimSun" w:cs="SimSun"/>
          <w:sz w:val="21"/>
          <w:szCs w:val="21"/>
        </w:rPr>
        <w:t>年中国民营企业</w:t>
      </w:r>
      <w:r>
        <w:rPr>
          <w:sz w:val="21"/>
          <w:szCs w:val="21"/>
        </w:rPr>
        <w:t>500</w:t>
      </w:r>
      <w:r>
        <w:rPr>
          <w:rFonts w:ascii="SimSun" w:eastAsia="SimSun" w:hAnsi="SimSun" w:cs="SimSun"/>
          <w:sz w:val="21"/>
          <w:szCs w:val="21"/>
        </w:rPr>
        <w:t>强的发展状况。</w:t>
      </w:r>
      <w:r>
        <w:rPr>
          <w:strike w:val="0"/>
          <w:sz w:val="21"/>
          <w:szCs w:val="21"/>
          <w:u w:val="none"/>
        </w:rPr>
        <w:drawing>
          <wp:inline>
            <wp:extent cx="28575" cy="28575"/>
            <wp:docPr id="100013"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779"/>
        <w:gridCol w:w="2004"/>
        <w:gridCol w:w="2087"/>
        <w:gridCol w:w="2424"/>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70" w:type="dxa"/>
            <w:vMerge w:val="restart"/>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项目</w:t>
            </w:r>
          </w:p>
        </w:tc>
        <w:tc>
          <w:tcPr>
            <w:tcW w:w="2070" w:type="dxa"/>
            <w:vMerge w:val="restart"/>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总额（万亿元）</w:t>
            </w:r>
          </w:p>
        </w:tc>
        <w:tc>
          <w:tcPr>
            <w:tcW w:w="4155" w:type="dxa"/>
            <w:gridSpan w:val="2"/>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户均</w:t>
            </w:r>
          </w:p>
        </w:tc>
      </w:tr>
      <w:tr>
        <w:tblPrEx>
          <w:tblW w:w="8325" w:type="dxa"/>
          <w:tblInd w:w="128" w:type="dxa"/>
          <w:tblCellMar>
            <w:top w:w="0" w:type="dxa"/>
            <w:left w:w="0" w:type="dxa"/>
            <w:bottom w:w="0" w:type="dxa"/>
            <w:right w:w="0" w:type="dxa"/>
          </w:tblCellMar>
        </w:tblPrEx>
        <w:tc>
          <w:tcPr>
            <w:vMerge/>
            <w:tcBorders>
              <w:bottom w:val="single" w:sz="6" w:space="0" w:color="000000"/>
              <w:right w:val="single" w:sz="6" w:space="0" w:color="000000"/>
            </w:tcBorders>
            <w:vAlign w:val="center"/>
            <w:hideMark/>
          </w:tcPr>
          <w:p>
            <w:pPr>
              <w:rPr>
                <w:rFonts w:ascii="SimSun" w:eastAsia="SimSun" w:hAnsi="SimSun" w:cs="SimSun"/>
                <w:b w:val="0"/>
                <w:bCs w:val="0"/>
                <w:i w:val="0"/>
                <w:iCs w:val="0"/>
                <w:smallCaps w:val="0"/>
                <w:color w:val="000000"/>
                <w:sz w:val="21"/>
                <w:szCs w:val="21"/>
              </w:rPr>
            </w:pPr>
          </w:p>
        </w:tc>
        <w:tc>
          <w:tcPr>
            <w:vMerge/>
            <w:tcBorders>
              <w:left w:val="single" w:sz="6" w:space="0" w:color="000000"/>
              <w:bottom w:val="single" w:sz="6" w:space="0" w:color="000000"/>
              <w:right w:val="single" w:sz="6" w:space="0" w:color="000000"/>
            </w:tcBorders>
            <w:vAlign w:val="center"/>
            <w:hideMark/>
          </w:tcPr>
          <w:p>
            <w:pPr>
              <w:rPr>
                <w:rFonts w:ascii="SimSun" w:eastAsia="SimSun" w:hAnsi="SimSun" w:cs="SimSun"/>
                <w:b w:val="0"/>
                <w:bCs w:val="0"/>
                <w:i w:val="0"/>
                <w:iCs w:val="0"/>
                <w:smallCaps w:val="0"/>
                <w:color w:val="000000"/>
                <w:sz w:val="21"/>
                <w:szCs w:val="21"/>
              </w:rPr>
            </w:pPr>
          </w:p>
        </w:tc>
        <w:tc>
          <w:tcPr>
            <w:tcW w:w="249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金额（亿元）</w:t>
            </w:r>
          </w:p>
        </w:tc>
        <w:tc>
          <w:tcPr>
            <w:tcW w:w="249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金额较上年增长率（</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p>
        </w:tc>
      </w:tr>
      <w:tr>
        <w:tblPrEx>
          <w:tblW w:w="8325"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营业收入</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41.91</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838.22</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5.22</w:t>
            </w:r>
          </w:p>
        </w:tc>
      </w:tr>
      <w:tr>
        <w:tblPrEx>
          <w:tblW w:w="8325" w:type="dxa"/>
          <w:tblInd w:w="128" w:type="dxa"/>
          <w:tblCellMar>
            <w:top w:w="0" w:type="dxa"/>
            <w:left w:w="0" w:type="dxa"/>
            <w:bottom w:w="0" w:type="dxa"/>
            <w:right w:w="0" w:type="dxa"/>
          </w:tblCellMar>
        </w:tblPrEx>
        <w:tc>
          <w:tcPr>
            <w:tcW w:w="207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资产</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49.85</w:t>
            </w:r>
          </w:p>
        </w:tc>
        <w:tc>
          <w:tcPr>
            <w:tcW w:w="207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996.94</w:t>
            </w:r>
          </w:p>
        </w:tc>
        <w:tc>
          <w:tcPr>
            <w:tcW w:w="207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7.64</w:t>
            </w:r>
          </w:p>
        </w:tc>
      </w:tr>
      <w:tr>
        <w:tblPrEx>
          <w:tblW w:w="8325" w:type="dxa"/>
          <w:tblInd w:w="128" w:type="dxa"/>
          <w:tblCellMar>
            <w:top w:w="0" w:type="dxa"/>
            <w:left w:w="0" w:type="dxa"/>
            <w:bottom w:w="0" w:type="dxa"/>
            <w:right w:w="0" w:type="dxa"/>
          </w:tblCellMar>
        </w:tblPrEx>
        <w:tc>
          <w:tcPr>
            <w:tcW w:w="207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税后净利润</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1.69</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33.85</w:t>
            </w:r>
          </w:p>
        </w:tc>
        <w:tc>
          <w:tcPr>
            <w:tcW w:w="207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2.97</w:t>
            </w:r>
          </w:p>
        </w:tc>
      </w:tr>
    </w:tbl>
    <w:p>
      <w:pPr>
        <w:widowControl w:val="0"/>
        <w:spacing w:before="0" w:after="0" w:line="360" w:lineRule="auto"/>
        <w:rPr>
          <w:sz w:val="21"/>
          <w:szCs w:val="21"/>
        </w:rPr>
      </w:pPr>
      <w:r>
        <w:rPr>
          <w:strike w:val="0"/>
          <w:sz w:val="21"/>
          <w:szCs w:val="21"/>
          <w:u w:val="none"/>
        </w:rPr>
        <w:drawing>
          <wp:inline>
            <wp:extent cx="2533650" cy="1571625"/>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2533650" cy="15716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根据以上信息，可推断出我国（</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①民企规模实现较快增长，民营经济的韧性增强</w:t>
      </w:r>
    </w:p>
    <w:p>
      <w:pPr>
        <w:widowControl w:val="0"/>
        <w:spacing w:before="0" w:after="0" w:line="360" w:lineRule="auto"/>
        <w:rPr>
          <w:sz w:val="21"/>
          <w:szCs w:val="21"/>
        </w:rPr>
      </w:pPr>
      <w:r>
        <w:rPr>
          <w:rFonts w:ascii="SimSun" w:eastAsia="SimSun" w:hAnsi="SimSun" w:cs="SimSun"/>
          <w:sz w:val="21"/>
          <w:szCs w:val="21"/>
        </w:rPr>
        <w:t>②民企经济效益日益增长，市场占有率不断提高</w:t>
      </w:r>
    </w:p>
    <w:p>
      <w:pPr>
        <w:widowControl w:val="0"/>
        <w:spacing w:before="0" w:after="0" w:line="360" w:lineRule="auto"/>
        <w:rPr>
          <w:sz w:val="21"/>
          <w:szCs w:val="21"/>
        </w:rPr>
      </w:pPr>
      <w:r>
        <w:rPr>
          <w:rFonts w:ascii="SimSun" w:eastAsia="SimSun" w:hAnsi="SimSun" w:cs="SimSun"/>
          <w:sz w:val="21"/>
          <w:szCs w:val="21"/>
        </w:rPr>
        <w:t>③产业结构不断优化升级，产业链协同效应增强</w:t>
      </w:r>
    </w:p>
    <w:p>
      <w:pPr>
        <w:widowControl w:val="0"/>
        <w:spacing w:before="0" w:after="0" w:line="360" w:lineRule="auto"/>
        <w:rPr>
          <w:sz w:val="21"/>
          <w:szCs w:val="21"/>
        </w:rPr>
      </w:pPr>
      <w:r>
        <w:rPr>
          <w:rFonts w:ascii="SimSun" w:eastAsia="SimSun" w:hAnsi="SimSun" w:cs="SimSun"/>
          <w:sz w:val="21"/>
          <w:szCs w:val="21"/>
        </w:rPr>
        <w:t>④创新驱动发展成效显著，民企核心竞争力提升</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9"/>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行业技术标准的统一是金砖国家经贸合作的基础。</w:t>
      </w:r>
      <w:r>
        <w:rPr>
          <w:sz w:val="21"/>
          <w:szCs w:val="21"/>
        </w:rPr>
        <w:t>2024</w:t>
      </w:r>
      <w:r>
        <w:rPr>
          <w:rFonts w:ascii="SimSun" w:eastAsia="SimSun" w:hAnsi="SimSun" w:cs="SimSun"/>
          <w:sz w:val="21"/>
          <w:szCs w:val="21"/>
        </w:rPr>
        <w:t>年是“大金砖合作”的开局之年，面对金砖成员国标准认证领域的差异及标准的数字化转型，标准合作成为</w:t>
      </w:r>
      <w:r>
        <w:rPr>
          <w:sz w:val="21"/>
          <w:szCs w:val="21"/>
        </w:rPr>
        <w:t>2024</w:t>
      </w:r>
      <w:r>
        <w:rPr>
          <w:rFonts w:ascii="SimSun" w:eastAsia="SimSun" w:hAnsi="SimSun" w:cs="SimSun"/>
          <w:sz w:val="21"/>
          <w:szCs w:val="21"/>
        </w:rPr>
        <w:t>年</w:t>
      </w:r>
      <w:r>
        <w:rPr>
          <w:sz w:val="21"/>
          <w:szCs w:val="21"/>
        </w:rPr>
        <w:t>10</w:t>
      </w:r>
      <w:r>
        <w:rPr>
          <w:rFonts w:ascii="SimSun" w:eastAsia="SimSun" w:hAnsi="SimSun" w:cs="SimSun"/>
          <w:sz w:val="21"/>
          <w:szCs w:val="21"/>
        </w:rPr>
        <w:t>月金砖国家经贸活动论坛的主题。深化金砖国家标准合作将（</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①进一步促进金砖国家经贸往来的便利化和规范化</w:t>
      </w:r>
    </w:p>
    <w:p>
      <w:pPr>
        <w:widowControl w:val="0"/>
        <w:spacing w:before="0" w:after="0" w:line="360" w:lineRule="auto"/>
        <w:rPr>
          <w:sz w:val="21"/>
          <w:szCs w:val="21"/>
        </w:rPr>
      </w:pPr>
      <w:r>
        <w:rPr>
          <w:rFonts w:ascii="SimSun" w:eastAsia="SimSun" w:hAnsi="SimSun" w:cs="SimSun"/>
          <w:sz w:val="21"/>
          <w:szCs w:val="21"/>
        </w:rPr>
        <w:t>②有助于提升金砖国家在全球经济治理中的话语权</w:t>
      </w:r>
    </w:p>
    <w:p>
      <w:pPr>
        <w:widowControl w:val="0"/>
        <w:spacing w:before="0" w:after="0" w:line="360" w:lineRule="auto"/>
        <w:rPr>
          <w:sz w:val="21"/>
          <w:szCs w:val="21"/>
        </w:rPr>
      </w:pPr>
      <w:r>
        <w:rPr>
          <w:rFonts w:ascii="SimSun" w:eastAsia="SimSun" w:hAnsi="SimSun" w:cs="SimSun"/>
          <w:sz w:val="21"/>
          <w:szCs w:val="21"/>
        </w:rPr>
        <w:t>③消弭金砖国家间观念分歧、利益冲突和政策差异</w:t>
      </w:r>
    </w:p>
    <w:p>
      <w:pPr>
        <w:widowControl w:val="0"/>
        <w:spacing w:before="0" w:after="0" w:line="360" w:lineRule="auto"/>
        <w:rPr>
          <w:sz w:val="21"/>
          <w:szCs w:val="21"/>
        </w:rPr>
      </w:pPr>
      <w:r>
        <w:rPr>
          <w:rFonts w:ascii="SimSun" w:eastAsia="SimSun" w:hAnsi="SimSun" w:cs="SimSun"/>
          <w:sz w:val="21"/>
          <w:szCs w:val="21"/>
        </w:rPr>
        <w:t>④在世界范围内推动经济数字化转型及高质量发展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网络空间以虚拟、开放、共享为重要特征，没有明确的地理空间和边界。网络主权是国家主权在网络空间中的自然延伸。世界互联网大会创办十余年来，中国在会上多次主张“尊重网络主权”，并将其视为推</w:t>
      </w:r>
      <w:r>
        <w:rPr>
          <w:strike w:val="0"/>
          <w:sz w:val="21"/>
          <w:szCs w:val="21"/>
          <w:u w:val="none"/>
        </w:rPr>
        <w:drawing>
          <wp:inline>
            <wp:extent cx="28575" cy="28575"/>
            <wp:docPr id="10003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进全球互联网治理体系变革的首要原则，这是因为（</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①网络自由对传统主权观念形成了严峻挑战</w:t>
      </w:r>
    </w:p>
    <w:p>
      <w:pPr>
        <w:widowControl w:val="0"/>
        <w:spacing w:before="0" w:after="0" w:line="360" w:lineRule="auto"/>
        <w:rPr>
          <w:sz w:val="21"/>
          <w:szCs w:val="21"/>
        </w:rPr>
      </w:pPr>
      <w:r>
        <w:rPr>
          <w:rFonts w:ascii="SimSun" w:eastAsia="SimSun" w:hAnsi="SimSun" w:cs="SimSun"/>
          <w:sz w:val="21"/>
          <w:szCs w:val="21"/>
        </w:rPr>
        <w:t>②中国在全球互联网治理中发挥着引领作用</w:t>
      </w:r>
    </w:p>
    <w:p>
      <w:pPr>
        <w:widowControl w:val="0"/>
        <w:spacing w:before="0" w:after="0" w:line="360" w:lineRule="auto"/>
        <w:rPr>
          <w:sz w:val="21"/>
          <w:szCs w:val="21"/>
        </w:rPr>
      </w:pPr>
      <w:r>
        <w:rPr>
          <w:rFonts w:ascii="SimSun" w:eastAsia="SimSun" w:hAnsi="SimSun" w:cs="SimSun"/>
          <w:sz w:val="21"/>
          <w:szCs w:val="21"/>
        </w:rPr>
        <w:t>③全球互联网治理应以尊重主权国家的平等参与权利为前提</w:t>
      </w:r>
    </w:p>
    <w:p>
      <w:pPr>
        <w:widowControl w:val="0"/>
        <w:spacing w:before="0" w:after="0" w:line="360" w:lineRule="auto"/>
        <w:rPr>
          <w:sz w:val="21"/>
          <w:szCs w:val="21"/>
        </w:rPr>
      </w:pPr>
      <w:r>
        <w:rPr>
          <w:rFonts w:ascii="SimSun" w:eastAsia="SimSun" w:hAnsi="SimSun" w:cs="SimSun"/>
          <w:sz w:val="21"/>
          <w:szCs w:val="21"/>
        </w:rPr>
        <w:t>④网络命运共同体理念已经成为全球互联网治理的国际共识</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近年来，围绕破解流动党员管理难题，河南省出台多项举措：建立流出地、流入地双向共管机制，强化对流动党员的教育管理；围绕业务开展线上主题党日活动，共谋家乡发展：建设流动党员志愿者队伍，培塑志愿者品牌，在实践中锤炼党性。这一系列举措旨在（</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①以党的思想建设为统领，提高流动党员理论素养</w:t>
      </w:r>
    </w:p>
    <w:p>
      <w:pPr>
        <w:widowControl w:val="0"/>
        <w:spacing w:before="0" w:after="0" w:line="360" w:lineRule="auto"/>
        <w:rPr>
          <w:sz w:val="21"/>
          <w:szCs w:val="21"/>
        </w:rPr>
      </w:pPr>
      <w:r>
        <w:rPr>
          <w:rFonts w:ascii="SimSun" w:eastAsia="SimSun" w:hAnsi="SimSun" w:cs="SimSun"/>
          <w:sz w:val="21"/>
          <w:szCs w:val="21"/>
        </w:rPr>
        <w:t>②完善流动党员管理机制，增强流动党员管理实效</w:t>
      </w:r>
    </w:p>
    <w:p>
      <w:pPr>
        <w:widowControl w:val="0"/>
        <w:spacing w:before="0" w:after="0" w:line="360" w:lineRule="auto"/>
        <w:rPr>
          <w:sz w:val="21"/>
          <w:szCs w:val="21"/>
        </w:rPr>
      </w:pPr>
      <w:r>
        <w:rPr>
          <w:rFonts w:ascii="SimSun" w:eastAsia="SimSun" w:hAnsi="SimSun" w:cs="SimSun"/>
          <w:sz w:val="21"/>
          <w:szCs w:val="21"/>
        </w:rPr>
        <w:t>③将党建与业务有机结合，提升流动党员从业能力</w:t>
      </w:r>
    </w:p>
    <w:p>
      <w:pPr>
        <w:widowControl w:val="0"/>
        <w:spacing w:before="0" w:after="0" w:line="360" w:lineRule="auto"/>
        <w:rPr>
          <w:sz w:val="21"/>
          <w:szCs w:val="21"/>
        </w:rPr>
      </w:pPr>
      <w:r>
        <w:rPr>
          <w:rFonts w:ascii="SimSun" w:eastAsia="SimSun" w:hAnsi="SimSun" w:cs="SimSun"/>
          <w:sz w:val="21"/>
          <w:szCs w:val="21"/>
        </w:rPr>
        <w:t>④增强党组织的组织功能，更好发挥战斗堡垒作用</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rPr>
          <w:sz w:val="21"/>
          <w:szCs w:val="21"/>
        </w:rPr>
      </w:pPr>
      <w:r>
        <w:rPr>
          <w:sz w:val="21"/>
          <w:szCs w:val="21"/>
        </w:rPr>
        <w:t>7. 2024</w:t>
      </w:r>
      <w:r>
        <w:rPr>
          <w:rFonts w:ascii="SimSun" w:eastAsia="SimSun" w:hAnsi="SimSun" w:cs="SimSun"/>
          <w:sz w:val="21"/>
          <w:szCs w:val="21"/>
        </w:rPr>
        <w:t>年</w:t>
      </w:r>
      <w:r>
        <w:rPr>
          <w:sz w:val="21"/>
          <w:szCs w:val="21"/>
        </w:rPr>
        <w:t>6</w:t>
      </w:r>
      <w:r>
        <w:rPr>
          <w:rFonts w:ascii="SimSun" w:eastAsia="SimSun" w:hAnsi="SimSun" w:cs="SimSun"/>
          <w:sz w:val="21"/>
          <w:szCs w:val="21"/>
        </w:rPr>
        <w:t>月</w:t>
      </w:r>
      <w:r>
        <w:rPr>
          <w:sz w:val="21"/>
          <w:szCs w:val="21"/>
        </w:rPr>
        <w:t>28</w:t>
      </w:r>
      <w:r>
        <w:rPr>
          <w:rFonts w:ascii="SimSun" w:eastAsia="SimSun" w:hAnsi="SimSun" w:cs="SimSun"/>
          <w:sz w:val="21"/>
          <w:szCs w:val="21"/>
        </w:rPr>
        <w:t>日，全国人大常委会通过《中华人民共和国农村集体经济组织法》。该法的制定在认真总结地方农村集体产权制度改革实践经验的基础上，充分考虑了新型农村集体经济的特点，并通过民情调研、座谈研讨等方式，广泛听取了各方意见。这表明全国人大常委会（</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①作为最高国家权力机关，行使了立法权</w:t>
      </w:r>
    </w:p>
    <w:p>
      <w:pPr>
        <w:widowControl w:val="0"/>
        <w:spacing w:before="0" w:after="0" w:line="360" w:lineRule="auto"/>
        <w:rPr>
          <w:sz w:val="21"/>
          <w:szCs w:val="21"/>
        </w:rPr>
      </w:pPr>
      <w:r>
        <w:rPr>
          <w:rFonts w:ascii="SimSun" w:eastAsia="SimSun" w:hAnsi="SimSun" w:cs="SimSun"/>
          <w:sz w:val="21"/>
          <w:szCs w:val="21"/>
        </w:rPr>
        <w:t>②积极履行经济建设职能，促进社会发展</w:t>
      </w:r>
    </w:p>
    <w:p>
      <w:pPr>
        <w:widowControl w:val="0"/>
        <w:spacing w:before="0" w:after="0" w:line="360" w:lineRule="auto"/>
        <w:rPr>
          <w:sz w:val="21"/>
          <w:szCs w:val="21"/>
        </w:rPr>
      </w:pPr>
      <w:r>
        <w:rPr>
          <w:rFonts w:ascii="SimSun" w:eastAsia="SimSun" w:hAnsi="SimSun" w:cs="SimSun"/>
          <w:sz w:val="21"/>
          <w:szCs w:val="21"/>
        </w:rPr>
        <w:t>③密切联系群众，践行了全过程人民民主</w:t>
      </w:r>
    </w:p>
    <w:p>
      <w:pPr>
        <w:widowControl w:val="0"/>
        <w:spacing w:before="0" w:after="0" w:line="360" w:lineRule="auto"/>
        <w:rPr>
          <w:sz w:val="21"/>
          <w:szCs w:val="21"/>
        </w:rPr>
      </w:pPr>
      <w:r>
        <w:rPr>
          <w:rFonts w:ascii="SimSun" w:eastAsia="SimSun" w:hAnsi="SimSun" w:cs="SimSun"/>
          <w:sz w:val="21"/>
          <w:szCs w:val="21"/>
        </w:rPr>
        <w:t>④从我国农村实际出发，做到了科学立法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某村在村委会带领下，成立了以妇女为主的“巾帼志愿者”团队、以离退休干部为主的“乡风文明”协会和以中青年男性为主的“利群”服务队。从改善村容村貌到化解村民矛盾，他们各司其职、相互合作，助力该村走出了一条乡村治理特色之路，该村因此获评“全国乡村治理示范村”。这表明该村（</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①实行了自我管理与自我服务的治理模式</w:t>
      </w:r>
    </w:p>
    <w:p>
      <w:pPr>
        <w:widowControl w:val="0"/>
        <w:spacing w:before="0" w:after="0" w:line="360" w:lineRule="auto"/>
        <w:rPr>
          <w:sz w:val="21"/>
          <w:szCs w:val="21"/>
        </w:rPr>
      </w:pPr>
      <w:r>
        <w:rPr>
          <w:rFonts w:ascii="SimSun" w:eastAsia="SimSun" w:hAnsi="SimSun" w:cs="SimSun"/>
          <w:sz w:val="21"/>
          <w:szCs w:val="21"/>
        </w:rPr>
        <w:t>②发挥了基层政权组织协调各方的治理优势</w:t>
      </w:r>
    </w:p>
    <w:p>
      <w:pPr>
        <w:widowControl w:val="0"/>
        <w:spacing w:before="0" w:after="0" w:line="360" w:lineRule="auto"/>
        <w:rPr>
          <w:sz w:val="21"/>
          <w:szCs w:val="21"/>
        </w:rPr>
      </w:pPr>
      <w:r>
        <w:rPr>
          <w:rFonts w:ascii="SimSun" w:eastAsia="SimSun" w:hAnsi="SimSun" w:cs="SimSun"/>
          <w:sz w:val="21"/>
          <w:szCs w:val="21"/>
        </w:rPr>
        <w:t>③创新了基层群众性自治组织管理公共事务的方式</w:t>
      </w:r>
    </w:p>
    <w:p>
      <w:pPr>
        <w:widowControl w:val="0"/>
        <w:spacing w:before="0" w:after="0" w:line="360" w:lineRule="auto"/>
        <w:rPr>
          <w:sz w:val="21"/>
          <w:szCs w:val="21"/>
        </w:rPr>
      </w:pPr>
      <w:r>
        <w:rPr>
          <w:rFonts w:ascii="SimSun" w:eastAsia="SimSun" w:hAnsi="SimSun" w:cs="SimSun"/>
          <w:sz w:val="21"/>
          <w:szCs w:val="21"/>
        </w:rPr>
        <w:t>④村民依法规范自身行</w:t>
      </w:r>
      <w:r>
        <w:rPr>
          <w:strike w:val="0"/>
          <w:sz w:val="21"/>
          <w:szCs w:val="21"/>
          <w:u w:val="none"/>
        </w:rPr>
        <w:drawing>
          <wp:inline>
            <wp:extent cx="161925" cy="190500"/>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11"/>
                    <a:stretch>
                      <a:fillRect/>
                    </a:stretch>
                  </pic:blipFill>
                  <pic:spPr>
                    <a:xfrm>
                      <a:off x="0" y="0"/>
                      <a:ext cx="161925" cy="190500"/>
                    </a:xfrm>
                    <a:prstGeom prst="rect">
                      <a:avLst/>
                    </a:prstGeom>
                  </pic:spPr>
                </pic:pic>
              </a:graphicData>
            </a:graphic>
          </wp:inline>
        </w:drawing>
      </w:r>
      <w:r>
        <w:rPr>
          <w:rFonts w:ascii="SimSun" w:eastAsia="SimSun" w:hAnsi="SimSun" w:cs="SimSun"/>
          <w:sz w:val="21"/>
          <w:szCs w:val="21"/>
        </w:rPr>
        <w:t>，积极参与基层民主实践</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r>
        <w:rPr>
          <w:strike w:val="0"/>
          <w:sz w:val="21"/>
          <w:szCs w:val="21"/>
          <w:u w:val="none"/>
        </w:rPr>
        <w:drawing>
          <wp:inline>
            <wp:extent cx="28575" cy="28575"/>
            <wp:docPr id="100047"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刘某早年丧偶，独自抚养两个女儿。大女儿已成年，小女儿存在严重</w:t>
      </w:r>
      <w:r>
        <w:rPr>
          <w:strike w:val="0"/>
          <w:sz w:val="21"/>
          <w:szCs w:val="21"/>
          <w:u w:val="none"/>
        </w:rPr>
        <w:drawing>
          <wp:inline>
            <wp:extent cx="133350" cy="180975"/>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智力缺陷。刘某在小女儿</w:t>
      </w:r>
      <w:r>
        <w:rPr>
          <w:sz w:val="21"/>
          <w:szCs w:val="21"/>
        </w:rPr>
        <w:t>15</w:t>
      </w:r>
      <w:r>
        <w:rPr>
          <w:rFonts w:ascii="SimSun" w:eastAsia="SimSun" w:hAnsi="SimSun" w:cs="SimSun"/>
          <w:sz w:val="21"/>
          <w:szCs w:val="21"/>
        </w:rPr>
        <w:t>岁时摔伤，后一直神志不清，其间某理财公司销售人员借机向刘某售出一份</w:t>
      </w:r>
      <w:r>
        <w:rPr>
          <w:sz w:val="21"/>
          <w:szCs w:val="21"/>
        </w:rPr>
        <w:t>8</w:t>
      </w:r>
      <w:r>
        <w:rPr>
          <w:rFonts w:ascii="SimSun" w:eastAsia="SimSun" w:hAnsi="SimSun" w:cs="SimSun"/>
          <w:sz w:val="21"/>
          <w:szCs w:val="21"/>
        </w:rPr>
        <w:t>万元的高风险理财产品。摔伤一年后，刘某病故，未留遗嘱。据此，以下表述正确的是（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①小女儿是限制民事行为能力人</w:t>
      </w:r>
    </w:p>
    <w:p>
      <w:pPr>
        <w:widowControl w:val="0"/>
        <w:spacing w:before="0" w:after="0" w:line="360" w:lineRule="auto"/>
        <w:rPr>
          <w:sz w:val="21"/>
          <w:szCs w:val="21"/>
        </w:rPr>
      </w:pPr>
      <w:r>
        <w:rPr>
          <w:rFonts w:ascii="SimSun" w:eastAsia="SimSun" w:hAnsi="SimSun" w:cs="SimSun"/>
          <w:sz w:val="21"/>
          <w:szCs w:val="21"/>
        </w:rPr>
        <w:t>②刘某的遗产应由两个女儿均等继承</w:t>
      </w:r>
    </w:p>
    <w:p>
      <w:pPr>
        <w:widowControl w:val="0"/>
        <w:spacing w:before="0" w:after="0" w:line="360" w:lineRule="auto"/>
        <w:rPr>
          <w:sz w:val="21"/>
          <w:szCs w:val="21"/>
        </w:rPr>
      </w:pPr>
      <w:r>
        <w:rPr>
          <w:rFonts w:ascii="SimSun" w:eastAsia="SimSun" w:hAnsi="SimSun" w:cs="SimSun"/>
          <w:sz w:val="21"/>
          <w:szCs w:val="21"/>
        </w:rPr>
        <w:t>③刘某摔伤后，小女儿的监护人应变更为大女儿</w:t>
      </w:r>
    </w:p>
    <w:p>
      <w:pPr>
        <w:widowControl w:val="0"/>
        <w:spacing w:before="0" w:after="0" w:line="360" w:lineRule="auto"/>
        <w:rPr>
          <w:sz w:val="21"/>
          <w:szCs w:val="21"/>
        </w:rPr>
      </w:pPr>
      <w:r>
        <w:rPr>
          <w:rFonts w:ascii="SimSun" w:eastAsia="SimSun" w:hAnsi="SimSun" w:cs="SimSun"/>
          <w:sz w:val="21"/>
          <w:szCs w:val="21"/>
        </w:rPr>
        <w:t>④两个女儿可向法院起诉，要求该理财公司退还</w:t>
      </w:r>
      <w:r>
        <w:rPr>
          <w:sz w:val="21"/>
          <w:szCs w:val="21"/>
        </w:rPr>
        <w:t>8</w:t>
      </w:r>
      <w:r>
        <w:rPr>
          <w:rFonts w:ascii="SimSun" w:eastAsia="SimSun" w:hAnsi="SimSun" w:cs="SimSun"/>
          <w:sz w:val="21"/>
          <w:szCs w:val="21"/>
        </w:rPr>
        <w:t>万元</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范某是种粮大户，其种植的小麦全部枯萎发黄，几乎绝收。随后，范某发现一家化工企业将工业废水排入了其用于灌溉小麦的河流。范某向法院提起诉讼，要求该企业赔偿自己的损失。下列需由范某负举证责任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①范某遭受的损失</w:t>
      </w:r>
      <w:r>
        <w:rPr>
          <w:sz w:val="21"/>
          <w:szCs w:val="21"/>
        </w:rPr>
        <w:t xml:space="preserve">                     </w:t>
      </w:r>
      <w:r>
        <w:rPr>
          <w:rFonts w:ascii="SimSun" w:eastAsia="SimSun" w:hAnsi="SimSun" w:cs="SimSun"/>
          <w:sz w:val="21"/>
          <w:szCs w:val="21"/>
        </w:rPr>
        <w:t>②化工企业主观上有过错</w:t>
      </w:r>
    </w:p>
    <w:p>
      <w:pPr>
        <w:widowControl w:val="0"/>
        <w:spacing w:before="0" w:after="0" w:line="360" w:lineRule="auto"/>
        <w:rPr>
          <w:sz w:val="21"/>
          <w:szCs w:val="21"/>
        </w:rPr>
      </w:pPr>
      <w:r>
        <w:rPr>
          <w:rFonts w:ascii="SimSun" w:eastAsia="SimSun" w:hAnsi="SimSun" w:cs="SimSun"/>
          <w:sz w:val="21"/>
          <w:szCs w:val="21"/>
        </w:rPr>
        <w:t>③化工企业实施了排污行为</w:t>
      </w:r>
      <w:r>
        <w:rPr>
          <w:sz w:val="21"/>
          <w:szCs w:val="21"/>
        </w:rPr>
        <w:t xml:space="preserve">           </w:t>
      </w:r>
      <w:r>
        <w:rPr>
          <w:rFonts w:ascii="SimSun" w:eastAsia="SimSun" w:hAnsi="SimSun" w:cs="SimSun"/>
          <w:sz w:val="21"/>
          <w:szCs w:val="21"/>
        </w:rPr>
        <w:t>④排污行为与损失间的因果关系</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论语》有言：“不时不食。”春宜食韭菜、红枣，升阳补脾；夏宜食莲子、西瓜，清热养心；秋宜食梨子、蜂蜜，润肺滋阴；冬宜食羊肉、核桃，温阳补肾。食四季之鲜，应四时之变，四季养生已成为一种时尚。由此可知（</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①顺应四时之变的饮食符合人体养生规律</w:t>
      </w:r>
    </w:p>
    <w:p>
      <w:pPr>
        <w:widowControl w:val="0"/>
        <w:spacing w:before="0" w:after="0" w:line="360" w:lineRule="auto"/>
        <w:rPr>
          <w:sz w:val="21"/>
          <w:szCs w:val="21"/>
        </w:rPr>
      </w:pPr>
      <w:r>
        <w:rPr>
          <w:rFonts w:ascii="SimSun" w:eastAsia="SimSun" w:hAnsi="SimSun" w:cs="SimSun"/>
          <w:sz w:val="21"/>
          <w:szCs w:val="21"/>
        </w:rPr>
        <w:t>②四时变化规律与人体养生规律是相同的</w:t>
      </w:r>
    </w:p>
    <w:p>
      <w:pPr>
        <w:widowControl w:val="0"/>
        <w:spacing w:before="0" w:after="0" w:line="360" w:lineRule="auto"/>
        <w:rPr>
          <w:sz w:val="21"/>
          <w:szCs w:val="21"/>
        </w:rPr>
      </w:pPr>
      <w:r>
        <w:rPr>
          <w:rFonts w:ascii="SimSun" w:eastAsia="SimSun" w:hAnsi="SimSun" w:cs="SimSun"/>
          <w:sz w:val="21"/>
          <w:szCs w:val="21"/>
        </w:rPr>
        <w:t>③时令、饮食与养生之间有着内在的联系</w:t>
      </w:r>
    </w:p>
    <w:p>
      <w:pPr>
        <w:widowControl w:val="0"/>
        <w:spacing w:before="0" w:after="0" w:line="360" w:lineRule="auto"/>
        <w:rPr>
          <w:sz w:val="21"/>
          <w:szCs w:val="21"/>
        </w:rPr>
      </w:pPr>
      <w:r>
        <w:rPr>
          <w:rFonts w:ascii="SimSun" w:eastAsia="SimSun" w:hAnsi="SimSun" w:cs="SimSun"/>
          <w:sz w:val="21"/>
          <w:szCs w:val="21"/>
        </w:rPr>
        <w:t>④人们可根据四时之变建立四季之鲜间的联系</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牛郎织女”是人们耳熟能详的神话传说。某国产动画电影在此基础上进行创新编排，运用“计白当黑”的中国画表现形式，以喜鹊象征好运，银杏叶寄托“落叶归根”的乡情，火锅传递热闹、团聚的寓意，选取“金风”“玉露”为主角命名……该片一经上映，便受到观众的广泛认可。影片的成功之处在于（</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①继承传统，立足中华优秀传统文化的丰富资源</w:t>
      </w:r>
    </w:p>
    <w:p>
      <w:pPr>
        <w:widowControl w:val="0"/>
        <w:spacing w:before="0" w:after="0" w:line="360" w:lineRule="auto"/>
        <w:rPr>
          <w:sz w:val="21"/>
          <w:szCs w:val="21"/>
        </w:rPr>
      </w:pPr>
      <w:r>
        <w:rPr>
          <w:rFonts w:ascii="SimSun" w:eastAsia="SimSun" w:hAnsi="SimSun" w:cs="SimSun"/>
          <w:sz w:val="21"/>
          <w:szCs w:val="21"/>
        </w:rPr>
        <w:t>②古为今用，实现传统美学和现代情感融会贯通</w:t>
      </w:r>
    </w:p>
    <w:p>
      <w:pPr>
        <w:widowControl w:val="0"/>
        <w:spacing w:before="0" w:after="0" w:line="360" w:lineRule="auto"/>
        <w:rPr>
          <w:sz w:val="21"/>
          <w:szCs w:val="21"/>
        </w:rPr>
      </w:pPr>
      <w:r>
        <w:rPr>
          <w:rFonts w:ascii="SimSun" w:eastAsia="SimSun" w:hAnsi="SimSun" w:cs="SimSun"/>
          <w:sz w:val="21"/>
          <w:szCs w:val="21"/>
        </w:rPr>
        <w:t>③锐意创新，以丰富的文化表现形式为根本追求</w:t>
      </w:r>
    </w:p>
    <w:p>
      <w:pPr>
        <w:widowControl w:val="0"/>
        <w:spacing w:before="0" w:after="0" w:line="360" w:lineRule="auto"/>
        <w:rPr>
          <w:sz w:val="21"/>
          <w:szCs w:val="21"/>
        </w:rPr>
      </w:pPr>
      <w:r>
        <w:rPr>
          <w:rFonts w:ascii="SimSun" w:eastAsia="SimSun" w:hAnsi="SimSun" w:cs="SimSun"/>
          <w:sz w:val="21"/>
          <w:szCs w:val="21"/>
        </w:rPr>
        <w:t>④与时俱进，深入发掘优秀传统文化的时代价值</w:t>
      </w:r>
      <w:r>
        <w:rPr>
          <w:strike w:val="0"/>
          <w:sz w:val="21"/>
          <w:szCs w:val="21"/>
          <w:u w:val="none"/>
        </w:rPr>
        <w:drawing>
          <wp:inline>
            <wp:extent cx="28575" cy="28575"/>
            <wp:docPr id="10006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到边疆去，到祖国最需要的地方去。”七十年来，一代代新疆生产建设兵团人汇聚天山脚下，如一棵棵小白杨扎根天山南北，饮冰卧雪、战风斗沙，铸就了“热爱祖国、无私奉献、艰苦创业、开拓进取”的兵团精神。秉承这种精神，兵团人与新疆各族群众携手共进，将亘古荒原变成片片绿洲，在戈壁滩上建起一座座屯垦城市和现代化工业园区。可见，兵团精神（</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①彰显出爱国主义是动员兵团人团结奋斗的一面旗帜</w:t>
      </w:r>
    </w:p>
    <w:p>
      <w:pPr>
        <w:widowControl w:val="0"/>
        <w:spacing w:before="0" w:after="0" w:line="360" w:lineRule="auto"/>
        <w:rPr>
          <w:sz w:val="21"/>
          <w:szCs w:val="21"/>
        </w:rPr>
      </w:pPr>
      <w:r>
        <w:rPr>
          <w:rFonts w:ascii="SimSun" w:eastAsia="SimSun" w:hAnsi="SimSun" w:cs="SimSun"/>
          <w:sz w:val="21"/>
          <w:szCs w:val="21"/>
        </w:rPr>
        <w:t>②为推进中华民族共同体建设提供了强大的精神支撑</w:t>
      </w:r>
    </w:p>
    <w:p>
      <w:pPr>
        <w:widowControl w:val="0"/>
        <w:spacing w:before="0" w:after="0" w:line="360" w:lineRule="auto"/>
        <w:rPr>
          <w:sz w:val="21"/>
          <w:szCs w:val="21"/>
        </w:rPr>
      </w:pPr>
      <w:r>
        <w:rPr>
          <w:rFonts w:ascii="SimSun" w:eastAsia="SimSun" w:hAnsi="SimSun" w:cs="SimSun"/>
          <w:sz w:val="21"/>
          <w:szCs w:val="21"/>
        </w:rPr>
        <w:t>③在几代兵团人建设边疆的过程中发挥着决定性作用</w:t>
      </w:r>
    </w:p>
    <w:p>
      <w:pPr>
        <w:widowControl w:val="0"/>
        <w:spacing w:before="0" w:after="0" w:line="360" w:lineRule="auto"/>
        <w:rPr>
          <w:sz w:val="21"/>
          <w:szCs w:val="21"/>
        </w:rPr>
      </w:pPr>
      <w:r>
        <w:rPr>
          <w:rFonts w:ascii="SimSun" w:eastAsia="SimSun" w:hAnsi="SimSun" w:cs="SimSun"/>
          <w:sz w:val="21"/>
          <w:szCs w:val="21"/>
        </w:rPr>
        <w:t>④集中体现了中华民族的价值追求、整体风貌和精神特征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14. 2024</w:t>
      </w:r>
      <w:r>
        <w:rPr>
          <w:rFonts w:ascii="SimSun" w:eastAsia="SimSun" w:hAnsi="SimSun" w:cs="SimSun"/>
          <w:sz w:val="21"/>
          <w:szCs w:val="21"/>
        </w:rPr>
        <w:t>年</w:t>
      </w:r>
      <w:r>
        <w:rPr>
          <w:sz w:val="21"/>
          <w:szCs w:val="21"/>
        </w:rPr>
        <w:t>3</w:t>
      </w:r>
      <w:r>
        <w:rPr>
          <w:rFonts w:ascii="SimSun" w:eastAsia="SimSun" w:hAnsi="SimSun" w:cs="SimSun"/>
          <w:sz w:val="21"/>
          <w:szCs w:val="21"/>
        </w:rPr>
        <w:t>月，国家市场监督管理总局等六部门联合印发《关于加强预制菜食品安全监管促进产业高质量发展的通知》，首次明确了预制菜的定义和范围。</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8830"/>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325" w:type="dxa"/>
            <w:noWrap w:val="0"/>
            <w:tcMar>
              <w:top w:w="76" w:type="dxa"/>
              <w:left w:w="120" w:type="dxa"/>
              <w:bottom w:w="76" w:type="dxa"/>
              <w:right w:w="120" w:type="dxa"/>
            </w:tcMar>
            <w:vAlign w:val="center"/>
            <w:hideMark/>
          </w:tcPr>
          <w:p>
            <w:pPr>
              <w:widowControl w:val="0"/>
              <w:spacing w:before="0" w:after="0" w:line="360" w:lineRule="auto"/>
              <w:ind w:firstLine="420"/>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预制菜，是以一种或多种食用农产品及其制品为原料，使用或不使用调味料等辅料，不添加防腐剂，经工业化预加工制成，配以或不配以调味料包，符合产品标签标明的贮存、运输及销售条件，加热或熟制后方可食用的预包装菜肴，不包括主食类食品，如速冻面米食品、方便食品、盒饭、馒头、糕点、汉堡等</w:t>
            </w:r>
            <w:r>
              <w:rPr>
                <w:rFonts w:ascii="SimSun" w:eastAsia="SimSun" w:hAnsi="SimSun" w:cs="SimSun"/>
                <w:b w:val="0"/>
                <w:bCs w:val="0"/>
                <w:i w:val="0"/>
                <w:iCs w:val="0"/>
                <w:smallCaps w:val="0"/>
                <w:color w:val="000000"/>
                <w:sz w:val="21"/>
                <w:szCs w:val="21"/>
              </w:rPr>
              <w:t>。</w:t>
            </w:r>
          </w:p>
        </w:tc>
      </w:tr>
    </w:tbl>
    <w:p>
      <w:pPr>
        <w:widowControl w:val="0"/>
        <w:spacing w:before="0" w:after="0" w:line="360" w:lineRule="auto"/>
        <w:rPr>
          <w:sz w:val="21"/>
          <w:szCs w:val="21"/>
        </w:rPr>
      </w:pPr>
      <w:r>
        <w:rPr>
          <w:rFonts w:ascii="SimSun" w:eastAsia="SimSun" w:hAnsi="SimSun" w:cs="SimSun"/>
          <w:sz w:val="21"/>
          <w:szCs w:val="21"/>
        </w:rPr>
        <w:t>据此可判断，下列正确</w:t>
      </w:r>
      <w:r>
        <w:rPr>
          <w:strike w:val="0"/>
          <w:sz w:val="21"/>
          <w:szCs w:val="21"/>
          <w:u w:val="none"/>
        </w:rPr>
        <w:drawing>
          <wp:inline>
            <wp:extent cx="133350" cy="180975"/>
            <wp:docPr id="10007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①预制菜包括以单一食用农产品为原料的预包装菜肴</w:t>
      </w:r>
    </w:p>
    <w:p>
      <w:pPr>
        <w:widowControl w:val="0"/>
        <w:spacing w:before="0" w:after="0" w:line="360" w:lineRule="auto"/>
        <w:rPr>
          <w:sz w:val="21"/>
          <w:szCs w:val="21"/>
        </w:rPr>
      </w:pPr>
      <w:r>
        <w:rPr>
          <w:rFonts w:ascii="SimSun" w:eastAsia="SimSun" w:hAnsi="SimSun" w:cs="SimSun"/>
          <w:sz w:val="21"/>
          <w:szCs w:val="21"/>
        </w:rPr>
        <w:t>②配以调味料包并且未经熟制的食品不是预制菜</w:t>
      </w:r>
    </w:p>
    <w:p>
      <w:pPr>
        <w:widowControl w:val="0"/>
        <w:spacing w:before="0" w:after="0" w:line="360" w:lineRule="auto"/>
        <w:rPr>
          <w:sz w:val="21"/>
          <w:szCs w:val="21"/>
        </w:rPr>
      </w:pPr>
      <w:r>
        <w:rPr>
          <w:rFonts w:ascii="SimSun" w:eastAsia="SimSun" w:hAnsi="SimSun" w:cs="SimSun"/>
          <w:sz w:val="21"/>
          <w:szCs w:val="21"/>
        </w:rPr>
        <w:t>③预制菜是要经过二次加工才能食用的预包装菜肴</w:t>
      </w:r>
    </w:p>
    <w:p>
      <w:pPr>
        <w:widowControl w:val="0"/>
        <w:spacing w:before="0" w:after="0" w:line="360" w:lineRule="auto"/>
        <w:rPr>
          <w:sz w:val="21"/>
          <w:szCs w:val="21"/>
        </w:rPr>
      </w:pPr>
      <w:r>
        <w:rPr>
          <w:rFonts w:ascii="SimSun" w:eastAsia="SimSun" w:hAnsi="SimSun" w:cs="SimSun"/>
          <w:sz w:val="21"/>
          <w:szCs w:val="21"/>
        </w:rPr>
        <w:t>④主食类速食产品都添加有防腐剂，不是预制菜</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若劳动教育只是“黑板上种庄稼，教室里开机器”，则学生仍会对劳动“无动于衷”。学生只有参加劳动实践并看到自己的劳动成果，才能体会到“人世间的一切成就和幸福都源于劳动创造”。</w:t>
      </w:r>
    </w:p>
    <w:p>
      <w:pPr>
        <w:widowControl w:val="0"/>
        <w:spacing w:before="0" w:after="0" w:line="360" w:lineRule="auto"/>
        <w:rPr>
          <w:sz w:val="21"/>
          <w:szCs w:val="21"/>
        </w:rPr>
      </w:pPr>
      <w:r>
        <w:rPr>
          <w:rFonts w:ascii="SimSun" w:eastAsia="SimSun" w:hAnsi="SimSun" w:cs="SimSun"/>
          <w:sz w:val="21"/>
          <w:szCs w:val="21"/>
        </w:rPr>
        <w:t>假设上述观点成立，以下判断必定为真的是（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若学生对劳动仍“无动于衷”，则劳动教育只是“黑板上种庄稼，教室里开机器”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若劳动教育不只是“黑板上种庄稼，教室里开机器”，学生就不会对劳动“无动于衷”</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若学生体会不到“人世间的一切成就和幸福都源于劳动创造”，则学生或者没参加劳动实践或者没看到自己的劳动成果</w:t>
      </w:r>
      <w:r>
        <w:rPr>
          <w:strike w:val="0"/>
          <w:sz w:val="21"/>
          <w:szCs w:val="21"/>
          <w:u w:val="none"/>
        </w:rPr>
        <w:drawing>
          <wp:inline>
            <wp:extent cx="28575" cy="28575"/>
            <wp:docPr id="10007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若学生体会到“人世间的一切成就和幸福都源于劳动创造”，则学生既参加了劳动实践也看到了自己的劳动成果</w:t>
      </w:r>
    </w:p>
    <w:p>
      <w:pPr>
        <w:widowControl w:val="0"/>
        <w:spacing w:before="0" w:after="0" w:line="286" w:lineRule="auto"/>
      </w:pPr>
      <w:r>
        <w:rPr>
          <w:rFonts w:ascii="SimSun" w:eastAsia="SimSun" w:hAnsi="SimSun" w:cs="SimSun"/>
          <w:b/>
          <w:bCs/>
        </w:rPr>
        <w:t>二、非选择题：本题共</w:t>
      </w:r>
      <w:r>
        <w:rPr>
          <w:b/>
          <w:bCs/>
        </w:rPr>
        <w:t>4</w:t>
      </w:r>
      <w:r>
        <w:rPr>
          <w:rFonts w:ascii="SimSun" w:eastAsia="SimSun" w:hAnsi="SimSun" w:cs="SimSun"/>
          <w:b/>
          <w:bCs/>
        </w:rPr>
        <w:t>小题，共</w:t>
      </w:r>
      <w:r>
        <w:rPr>
          <w:b/>
          <w:bCs/>
        </w:rPr>
        <w:t>55</w:t>
      </w:r>
      <w:r>
        <w:rPr>
          <w:rFonts w:ascii="SimSun" w:eastAsia="SimSun" w:hAnsi="SimSun" w:cs="SimSun"/>
          <w:b/>
          <w:bCs/>
        </w:rPr>
        <w:t>分。</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习近平总书记强调，“加快产品更新换代是推动高质量发展的重要举措”。</w:t>
      </w:r>
    </w:p>
    <w:p>
      <w:pPr>
        <w:widowControl w:val="0"/>
        <w:spacing w:before="0" w:after="0" w:line="360" w:lineRule="auto"/>
        <w:ind w:firstLine="420"/>
        <w:jc w:val="center"/>
        <w:rPr>
          <w:sz w:val="21"/>
          <w:szCs w:val="21"/>
        </w:rPr>
      </w:pPr>
      <w:r>
        <w:rPr>
          <w:rFonts w:ascii="KaiTi" w:eastAsia="KaiTi" w:hAnsi="KaiTi" w:cs="KaiTi"/>
          <w:sz w:val="21"/>
          <w:szCs w:val="21"/>
        </w:rPr>
        <w:t>【旧产品换出新动能】</w:t>
      </w:r>
    </w:p>
    <w:p>
      <w:pPr>
        <w:widowControl w:val="0"/>
        <w:spacing w:before="0" w:after="0" w:line="360" w:lineRule="auto"/>
        <w:ind w:firstLine="420"/>
        <w:rPr>
          <w:sz w:val="21"/>
          <w:szCs w:val="21"/>
        </w:rPr>
      </w:pPr>
      <w:r>
        <w:rPr>
          <w:rFonts w:ascii="KaiTi" w:eastAsia="KaiTi" w:hAnsi="KaiTi" w:cs="KaiTi"/>
          <w:sz w:val="21"/>
          <w:szCs w:val="21"/>
        </w:rPr>
        <w:t>我国是制造业大国和人口大国。目前，我国全社会工业设备存量资产约28万亿元，但随着技术进步，现有设备能耗商、智能化程度低，已无法满足生产发展的需要。我国民用汽车保有量超3亿辆，家电保有量超30亿台，但整体偏于老旧，不能满足居民日益增长的品质化、多样化消费需求。在此背景下，国务院部署实施大规模设备更新和消费品以旧换新行动。</w:t>
      </w:r>
    </w:p>
    <w:tbl>
      <w:tblPr>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460"/>
        <w:gridCol w:w="8250"/>
      </w:tblGrid>
      <w:tr>
        <w:tblPrEx>
          <w:tblW w:w="832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4155" w:type="dxa"/>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ind w:firstLine="420"/>
              <w:jc w:val="center"/>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设备更新</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范围：工业、农业等领域设备</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行动方式：围绕节能降碳、数字化转型、智能化升级等方向，推进重点行业设备更新改造</w:t>
            </w:r>
          </w:p>
        </w:tc>
        <w:tc>
          <w:tcPr>
            <w:tcW w:w="4155" w:type="dxa"/>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ind w:firstLine="420"/>
              <w:jc w:val="center"/>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消费品以旧换新</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范围：汽车、家电、家居等耐用消费品</w:t>
            </w:r>
          </w:p>
          <w:p>
            <w:pPr>
              <w:widowControl w:val="0"/>
              <w:spacing w:before="0" w:after="0" w:line="360" w:lineRule="auto"/>
              <w:rPr>
                <w:b w:val="0"/>
                <w:bCs w:val="0"/>
                <w:i w:val="0"/>
                <w:iCs w:val="0"/>
                <w:smallCaps w:val="0"/>
                <w:color w:val="000000"/>
                <w:sz w:val="21"/>
                <w:szCs w:val="21"/>
              </w:rPr>
            </w:pPr>
            <w:r>
              <w:rPr>
                <w:rFonts w:ascii="KaiTi" w:eastAsia="KaiTi" w:hAnsi="KaiTi" w:cs="KaiTi"/>
                <w:b w:val="0"/>
                <w:bCs w:val="0"/>
                <w:i w:val="0"/>
                <w:iCs w:val="0"/>
                <w:smallCaps w:val="0"/>
                <w:color w:val="000000"/>
                <w:sz w:val="21"/>
                <w:szCs w:val="21"/>
              </w:rPr>
              <w:t>行动方式：通过政府补贴、企业让利，提供价格实惠、智能绿色的产品，鼓励居民换新</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）实行大规模设备更新和消费品以旧换新，既利当前、更利长远。请结合材料，运用《经济与社会》知识对此加以说明。</w:t>
      </w:r>
    </w:p>
    <w:p>
      <w:pPr>
        <w:widowControl w:val="0"/>
        <w:spacing w:before="0" w:after="0" w:line="360" w:lineRule="auto"/>
        <w:ind w:firstLine="420"/>
        <w:jc w:val="center"/>
        <w:rPr>
          <w:sz w:val="21"/>
          <w:szCs w:val="21"/>
        </w:rPr>
      </w:pPr>
      <w:r>
        <w:rPr>
          <w:rFonts w:ascii="KaiTi" w:eastAsia="KaiTi" w:hAnsi="KaiTi" w:cs="KaiTi"/>
          <w:sz w:val="21"/>
          <w:szCs w:val="21"/>
        </w:rPr>
        <w:t>【旧产品进入新循环】</w:t>
      </w:r>
    </w:p>
    <w:p>
      <w:pPr>
        <w:widowControl w:val="0"/>
        <w:spacing w:before="0" w:after="0" w:line="360" w:lineRule="auto"/>
        <w:ind w:firstLine="420"/>
        <w:rPr>
          <w:sz w:val="21"/>
          <w:szCs w:val="21"/>
        </w:rPr>
      </w:pPr>
      <w:r>
        <w:rPr>
          <w:rFonts w:ascii="KaiTi" w:eastAsia="KaiTi" w:hAnsi="KaiTi" w:cs="KaiTi"/>
          <w:sz w:val="21"/>
          <w:szCs w:val="21"/>
        </w:rPr>
        <w:t>Y县循环经济产业园区是河南省省级绿色工业园区（以下简称园区）。园区自2021年起明确了循环经济发展思路，布局绿色产业集群发展，走出了一条绿色、低碳、高效的循环经济高质量发展之路。</w:t>
      </w:r>
    </w:p>
    <w:p>
      <w:pPr>
        <w:widowControl w:val="0"/>
        <w:spacing w:before="0" w:after="0" w:line="360" w:lineRule="auto"/>
        <w:ind w:firstLine="420"/>
        <w:rPr>
          <w:sz w:val="21"/>
          <w:szCs w:val="21"/>
        </w:rPr>
      </w:pPr>
      <w:r>
        <w:rPr>
          <w:rFonts w:ascii="KaiTi" w:eastAsia="KaiTi" w:hAnsi="KaiTi" w:cs="KaiTi"/>
          <w:sz w:val="21"/>
          <w:szCs w:val="21"/>
        </w:rPr>
        <w:t>立足“变废为宝”，园区相继引进数十家回收生活垃圾、废旧动力电池、废旧汽车等不同废弃资源的企业，再生出电能、热能、贵金属、塑料等资源。依据企业产能、用能的关联性，园区依托重点企业为关键节点，构建出包括水、电、热、油等多种再生资源生产与利用的“绿色、高效”循环经济产业链闭环。</w:t>
      </w:r>
    </w:p>
    <w:p>
      <w:pPr>
        <w:widowControl w:val="0"/>
        <w:spacing w:before="0" w:after="0" w:line="360" w:lineRule="auto"/>
        <w:ind w:firstLine="420"/>
        <w:rPr>
          <w:sz w:val="21"/>
          <w:szCs w:val="21"/>
        </w:rPr>
      </w:pPr>
      <w:r>
        <w:rPr>
          <w:rFonts w:ascii="KaiTi" w:eastAsia="KaiTi" w:hAnsi="KaiTi" w:cs="KaiTi"/>
          <w:sz w:val="21"/>
          <w:szCs w:val="21"/>
        </w:rPr>
        <w:t>为持续推动循环经济产业规模化、集聚化发展，园区以延链补链强链为抓手，以精拆细分及高值化循环利用为重点，引入“化工+”、食品类等企业延链扩容、充链扩环，促进循环经济产业链不断迭代升级。截至2024年9月，园区已入驻企业110余家，产业链条延至园区外。打造企业内、园区内、行业内三种循环，成为园区的下一个目标。</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）结合材料，运用发散思维与聚合思维的知识，分析该园区实现循环经济产业规模化、集聚化发展的过程。</w:t>
      </w:r>
      <w:r>
        <w:rPr>
          <w:strike w:val="0"/>
          <w:sz w:val="21"/>
          <w:szCs w:val="21"/>
          <w:u w:val="none"/>
        </w:rPr>
        <w:drawing>
          <wp:inline>
            <wp:extent cx="28575" cy="28575"/>
            <wp:docPr id="100093"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阅读材料，完成下列要求。</w:t>
      </w:r>
    </w:p>
    <w:p>
      <w:pPr>
        <w:widowControl w:val="0"/>
        <w:spacing w:before="0" w:after="0" w:line="360" w:lineRule="auto"/>
        <w:ind w:firstLine="420"/>
        <w:jc w:val="center"/>
        <w:rPr>
          <w:sz w:val="21"/>
          <w:szCs w:val="21"/>
        </w:rPr>
      </w:pPr>
      <w:r>
        <w:rPr>
          <w:rFonts w:ascii="KaiTi" w:eastAsia="KaiTi" w:hAnsi="KaiTi" w:cs="KaiTi"/>
          <w:sz w:val="21"/>
          <w:szCs w:val="21"/>
        </w:rPr>
        <w:t>【法治护航黄河流域生态保护的A市答卷】</w:t>
      </w:r>
    </w:p>
    <w:p>
      <w:pPr>
        <w:widowControl w:val="0"/>
        <w:spacing w:before="0" w:after="0" w:line="360" w:lineRule="auto"/>
        <w:ind w:firstLine="420"/>
        <w:rPr>
          <w:sz w:val="21"/>
          <w:szCs w:val="21"/>
        </w:rPr>
      </w:pPr>
      <w:r>
        <w:rPr>
          <w:rFonts w:ascii="KaiTi" w:eastAsia="KaiTi" w:hAnsi="KaiTi" w:cs="KaiTi"/>
          <w:sz w:val="21"/>
          <w:szCs w:val="21"/>
        </w:rPr>
        <w:t>A市作为黄河流域的重要节点城市，肩负着守护黄河安澜、筑牢生态屏障的使命。</w:t>
      </w:r>
    </w:p>
    <w:p>
      <w:pPr>
        <w:widowControl w:val="0"/>
        <w:spacing w:before="0" w:after="0" w:line="360" w:lineRule="auto"/>
        <w:ind w:firstLine="420"/>
        <w:rPr>
          <w:sz w:val="21"/>
          <w:szCs w:val="21"/>
        </w:rPr>
      </w:pPr>
      <w:r>
        <w:rPr>
          <w:rFonts w:ascii="KaiTi" w:eastAsia="KaiTi" w:hAnsi="KaiTi" w:cs="KaiTi"/>
          <w:sz w:val="21"/>
          <w:szCs w:val="21"/>
        </w:rPr>
        <w:t>自2019年黄河流域生态保护和高质量发展被确定为重大国家战略以来，A市坚持生态优先、绿色引领，因地施策探索出一条以法治化方式破解治理难题的特色之路，为生态保护和高质量发展交上了一份优异答卷。</w:t>
      </w:r>
    </w:p>
    <w:p>
      <w:pPr>
        <w:widowControl w:val="0"/>
        <w:spacing w:before="0" w:after="0" w:line="360" w:lineRule="auto"/>
        <w:ind w:firstLine="420"/>
        <w:rPr>
          <w:sz w:val="21"/>
          <w:szCs w:val="21"/>
        </w:rPr>
      </w:pPr>
      <w:r>
        <w:rPr>
          <w:rFonts w:ascii="KaiTi" w:eastAsia="KaiTi" w:hAnsi="KaiTi" w:cs="KaiTi"/>
          <w:sz w:val="21"/>
          <w:szCs w:val="21"/>
        </w:rPr>
        <w:t>镜头一</w:t>
      </w:r>
      <w:r>
        <w:rPr>
          <w:rFonts w:ascii="SimSun" w:eastAsia="SimSun" w:hAnsi="SimSun" w:cs="SimSun"/>
          <w:sz w:val="21"/>
          <w:szCs w:val="21"/>
        </w:rPr>
        <w:t>：</w:t>
      </w:r>
      <w:r>
        <w:rPr>
          <w:rFonts w:ascii="KaiTi" w:eastAsia="KaiTi" w:hAnsi="KaiTi" w:cs="KaiTi"/>
          <w:sz w:val="21"/>
          <w:szCs w:val="21"/>
        </w:rPr>
        <w:t>难题</w:t>
      </w:r>
    </w:p>
    <w:p>
      <w:pPr>
        <w:widowControl w:val="0"/>
        <w:spacing w:before="0" w:after="0" w:line="360" w:lineRule="auto"/>
        <w:ind w:firstLine="420"/>
        <w:rPr>
          <w:sz w:val="21"/>
          <w:szCs w:val="21"/>
        </w:rPr>
      </w:pPr>
      <w:r>
        <w:rPr>
          <w:rFonts w:ascii="KaiTi" w:eastAsia="KaiTi" w:hAnsi="KaiTi" w:cs="KaiTi"/>
          <w:sz w:val="21"/>
          <w:szCs w:val="21"/>
        </w:rPr>
        <w:t>曾经的</w:t>
      </w:r>
      <w:r>
        <w:rPr>
          <w:sz w:val="21"/>
          <w:szCs w:val="21"/>
        </w:rPr>
        <w:t>A</w:t>
      </w:r>
      <w:r>
        <w:rPr>
          <w:rFonts w:ascii="KaiTi" w:eastAsia="KaiTi" w:hAnsi="KaiTi" w:cs="KaiTi"/>
          <w:sz w:val="21"/>
          <w:szCs w:val="21"/>
        </w:rPr>
        <w:t>市，在黄河流域环境治理方面面临一系列的难题</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●固体废物倾倒、非法采砂等问题未得到有效解决</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●出现跨区域复合型生态治理问题，但各地区、各部门在治理环境问题过程中各自为政，推诿扯皮</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●数据壁垒现象严重，借助数字技术监控、评估、预警生态环境风险的应用不足。</w:t>
      </w:r>
    </w:p>
    <w:p>
      <w:pPr>
        <w:widowControl w:val="0"/>
        <w:spacing w:before="0" w:after="0" w:line="360" w:lineRule="auto"/>
        <w:ind w:firstLine="420"/>
        <w:rPr>
          <w:sz w:val="21"/>
          <w:szCs w:val="21"/>
        </w:rPr>
      </w:pPr>
      <w:r>
        <w:rPr>
          <w:rFonts w:ascii="KaiTi" w:eastAsia="KaiTi" w:hAnsi="KaiTi" w:cs="KaiTi"/>
          <w:sz w:val="21"/>
          <w:szCs w:val="21"/>
        </w:rPr>
        <w:t>镜头二</w:t>
      </w:r>
      <w:r>
        <w:rPr>
          <w:rFonts w:ascii="SimSun" w:eastAsia="SimSun" w:hAnsi="SimSun" w:cs="SimSun"/>
          <w:sz w:val="21"/>
          <w:szCs w:val="21"/>
        </w:rPr>
        <w:t>：</w:t>
      </w:r>
      <w:r>
        <w:rPr>
          <w:rFonts w:ascii="KaiTi" w:eastAsia="KaiTi" w:hAnsi="KaiTi" w:cs="KaiTi"/>
          <w:sz w:val="21"/>
          <w:szCs w:val="21"/>
        </w:rPr>
        <w:t>治理</w:t>
      </w:r>
    </w:p>
    <w:p>
      <w:pPr>
        <w:widowControl w:val="0"/>
        <w:spacing w:before="0" w:after="0" w:line="360" w:lineRule="auto"/>
        <w:ind w:firstLine="420"/>
        <w:rPr>
          <w:sz w:val="21"/>
          <w:szCs w:val="21"/>
        </w:rPr>
      </w:pPr>
      <w:r>
        <w:rPr>
          <w:sz w:val="21"/>
          <w:szCs w:val="21"/>
        </w:rPr>
        <w:t>A</w:t>
      </w:r>
      <w:r>
        <w:rPr>
          <w:rFonts w:ascii="KaiTi" w:eastAsia="KaiTi" w:hAnsi="KaiTi" w:cs="KaiTi"/>
          <w:sz w:val="21"/>
          <w:szCs w:val="21"/>
        </w:rPr>
        <w:t>市政府积极探索以法治化方式破解治理难题，坚持对症开方，出台了一系列有针对性的举措</w:t>
      </w:r>
      <w:r>
        <w:rPr>
          <w:rFonts w:ascii="SimSun" w:eastAsia="SimSun" w:hAnsi="SimSun" w:cs="SimSun"/>
          <w:sz w:val="21"/>
          <w:szCs w:val="21"/>
        </w:rPr>
        <w:t>：</w:t>
      </w:r>
      <w:r>
        <w:rPr>
          <w:sz w:val="21"/>
          <w:szCs w:val="21"/>
        </w:rPr>
        <w:t>_________________________</w:t>
      </w:r>
    </w:p>
    <w:p>
      <w:pPr>
        <w:widowControl w:val="0"/>
        <w:spacing w:before="0" w:after="0" w:line="360" w:lineRule="auto"/>
        <w:ind w:firstLine="420"/>
        <w:rPr>
          <w:sz w:val="21"/>
          <w:szCs w:val="21"/>
        </w:rPr>
      </w:pPr>
      <w:r>
        <w:rPr>
          <w:rFonts w:ascii="KaiTi" w:eastAsia="KaiTi" w:hAnsi="KaiTi" w:cs="KaiTi"/>
          <w:sz w:val="21"/>
          <w:szCs w:val="21"/>
        </w:rPr>
        <w:t>镜头三</w:t>
      </w:r>
      <w:r>
        <w:rPr>
          <w:rFonts w:ascii="SimSun" w:eastAsia="SimSun" w:hAnsi="SimSun" w:cs="SimSun"/>
          <w:sz w:val="21"/>
          <w:szCs w:val="21"/>
        </w:rPr>
        <w:t>：</w:t>
      </w:r>
      <w:r>
        <w:rPr>
          <w:rFonts w:ascii="KaiTi" w:eastAsia="KaiTi" w:hAnsi="KaiTi" w:cs="KaiTi"/>
          <w:sz w:val="21"/>
          <w:szCs w:val="21"/>
        </w:rPr>
        <w:t>成绩</w:t>
      </w:r>
    </w:p>
    <w:p>
      <w:pPr>
        <w:widowControl w:val="0"/>
        <w:spacing w:before="0" w:after="0" w:line="360" w:lineRule="auto"/>
        <w:ind w:firstLine="420"/>
        <w:rPr>
          <w:sz w:val="21"/>
          <w:szCs w:val="21"/>
        </w:rPr>
      </w:pPr>
      <w:r>
        <w:rPr>
          <w:rFonts w:ascii="KaiTi" w:eastAsia="KaiTi" w:hAnsi="KaiTi" w:cs="KaiTi"/>
          <w:sz w:val="21"/>
          <w:szCs w:val="21"/>
        </w:rPr>
        <w:t>随着一系列切实举措落地，</w:t>
      </w:r>
      <w:r>
        <w:rPr>
          <w:sz w:val="21"/>
          <w:szCs w:val="21"/>
        </w:rPr>
        <w:t>A</w:t>
      </w:r>
      <w:r>
        <w:rPr>
          <w:rFonts w:ascii="KaiTi" w:eastAsia="KaiTi" w:hAnsi="KaiTi" w:cs="KaiTi"/>
          <w:sz w:val="21"/>
          <w:szCs w:val="21"/>
        </w:rPr>
        <w:t>市生态环境不断向好发展，生态系统功能不断增强。</w:t>
      </w:r>
    </w:p>
    <w:p>
      <w:pPr>
        <w:widowControl w:val="0"/>
        <w:spacing w:before="0" w:after="0" w:line="360" w:lineRule="auto"/>
        <w:ind w:firstLine="420"/>
        <w:rPr>
          <w:sz w:val="21"/>
          <w:szCs w:val="21"/>
        </w:rPr>
      </w:pPr>
      <w:r>
        <w:rPr>
          <w:rFonts w:ascii="KaiTi" w:eastAsia="KaiTi" w:hAnsi="KaiTi" w:cs="KaiTi"/>
          <w:sz w:val="21"/>
          <w:szCs w:val="21"/>
        </w:rPr>
        <w:t>●水质更好，两岸更绿，流域生态质量总体改善。</w:t>
      </w:r>
    </w:p>
    <w:p>
      <w:pPr>
        <w:widowControl w:val="0"/>
        <w:spacing w:before="0" w:after="0" w:line="360" w:lineRule="auto"/>
        <w:ind w:firstLine="420"/>
        <w:rPr>
          <w:sz w:val="21"/>
          <w:szCs w:val="21"/>
        </w:rPr>
      </w:pPr>
      <w:r>
        <w:rPr>
          <w:rFonts w:ascii="KaiTi" w:eastAsia="KaiTi" w:hAnsi="KaiTi" w:cs="KaiTi"/>
          <w:sz w:val="21"/>
          <w:szCs w:val="21"/>
        </w:rPr>
        <w:t>●在一个又一个</w:t>
      </w:r>
      <w:r>
        <w:rPr>
          <w:rFonts w:ascii="SimSun" w:eastAsia="SimSun" w:hAnsi="SimSun" w:cs="SimSun"/>
          <w:sz w:val="21"/>
          <w:szCs w:val="21"/>
        </w:rPr>
        <w:t>“</w:t>
      </w:r>
      <w:r>
        <w:rPr>
          <w:sz w:val="21"/>
          <w:szCs w:val="21"/>
        </w:rPr>
        <w:t>A</w:t>
      </w:r>
      <w:r>
        <w:rPr>
          <w:rFonts w:ascii="KaiTi" w:eastAsia="KaiTi" w:hAnsi="KaiTi" w:cs="KaiTi"/>
          <w:sz w:val="21"/>
          <w:szCs w:val="21"/>
        </w:rPr>
        <w:t>市</w:t>
      </w:r>
      <w:r>
        <w:rPr>
          <w:rFonts w:ascii="SimSun" w:eastAsia="SimSun" w:hAnsi="SimSun" w:cs="SimSun"/>
          <w:sz w:val="21"/>
          <w:szCs w:val="21"/>
        </w:rPr>
        <w:t>”</w:t>
      </w:r>
      <w:r>
        <w:rPr>
          <w:rFonts w:ascii="KaiTi" w:eastAsia="KaiTi" w:hAnsi="KaiTi" w:cs="KaiTi"/>
          <w:sz w:val="21"/>
          <w:szCs w:val="21"/>
        </w:rPr>
        <w:t>的共同探索和努力下，一曲生态优先、绿色发展的</w:t>
      </w:r>
      <w:r>
        <w:rPr>
          <w:rFonts w:ascii="SimSun" w:eastAsia="SimSun" w:hAnsi="SimSun" w:cs="SimSun"/>
          <w:sz w:val="21"/>
          <w:szCs w:val="21"/>
        </w:rPr>
        <w:t>“</w:t>
      </w:r>
      <w:r>
        <w:rPr>
          <w:rFonts w:ascii="KaiTi" w:eastAsia="KaiTi" w:hAnsi="KaiTi" w:cs="KaiTi"/>
          <w:sz w:val="21"/>
          <w:szCs w:val="21"/>
        </w:rPr>
        <w:t>黄河大合唱</w:t>
      </w:r>
      <w:r>
        <w:rPr>
          <w:rFonts w:ascii="SimSun" w:eastAsia="SimSun" w:hAnsi="SimSun" w:cs="SimSun"/>
          <w:sz w:val="21"/>
          <w:szCs w:val="21"/>
        </w:rPr>
        <w:t>”</w:t>
      </w:r>
      <w:r>
        <w:rPr>
          <w:rFonts w:ascii="KaiTi" w:eastAsia="KaiTi" w:hAnsi="KaiTi" w:cs="KaiTi"/>
          <w:sz w:val="21"/>
          <w:szCs w:val="21"/>
        </w:rPr>
        <w:t>正在神州大地奏响，黄河流域生态保护和高质量发展站到了更高起点</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结合材料，运用《政治与法治》知识，将上述材料中镜头二部分补充完整。</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rPr>
          <w:sz w:val="21"/>
          <w:szCs w:val="21"/>
        </w:rPr>
      </w:pPr>
      <w:r>
        <w:rPr>
          <w:strike w:val="0"/>
          <w:sz w:val="21"/>
          <w:szCs w:val="21"/>
          <w:u w:val="none"/>
        </w:rPr>
        <w:drawing>
          <wp:inline>
            <wp:extent cx="3867150" cy="2171700"/>
            <wp:docPr id="1001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16"/>
                    <a:stretch>
                      <a:fillRect/>
                    </a:stretch>
                  </pic:blipFill>
                  <pic:spPr>
                    <a:xfrm>
                      <a:off x="0" y="0"/>
                      <a:ext cx="3867150" cy="2171700"/>
                    </a:xfrm>
                    <a:prstGeom prst="rect">
                      <a:avLst/>
                    </a:prstGeom>
                  </pic:spPr>
                </pic:pic>
              </a:graphicData>
            </a:graphic>
          </wp:inline>
        </w:drawing>
      </w:r>
    </w:p>
    <w:p>
      <w:pPr>
        <w:widowControl w:val="0"/>
        <w:spacing w:before="0" w:after="0" w:line="360" w:lineRule="auto"/>
        <w:ind w:firstLine="420"/>
        <w:rPr>
          <w:sz w:val="21"/>
          <w:szCs w:val="21"/>
        </w:rPr>
      </w:pPr>
      <w:r>
        <w:rPr>
          <w:rFonts w:ascii="KaiTi" w:eastAsia="KaiTi" w:hAnsi="KaiTi" w:cs="KaiTi"/>
          <w:sz w:val="21"/>
          <w:szCs w:val="21"/>
        </w:rPr>
        <w:t>宋锦是宋代发展起来的一种质地精美、技艺独特的织锦，可用于制作服装、箱包、丝巾等。2009年，</w:t>
      </w:r>
      <w:r>
        <w:rPr>
          <w:strike w:val="0"/>
          <w:sz w:val="21"/>
          <w:szCs w:val="21"/>
          <w:u w:val="none"/>
        </w:rPr>
        <w:drawing>
          <wp:inline>
            <wp:extent cx="28575" cy="28575"/>
            <wp:docPr id="100109"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宋锦织造技艺被列入联合国教科文组织人类非物质文化遗产代表作名录。</w:t>
      </w:r>
    </w:p>
    <w:p>
      <w:pPr>
        <w:widowControl w:val="0"/>
        <w:spacing w:before="0" w:after="0" w:line="360" w:lineRule="auto"/>
        <w:ind w:firstLine="420"/>
        <w:rPr>
          <w:sz w:val="21"/>
          <w:szCs w:val="21"/>
        </w:rPr>
      </w:pPr>
      <w:r>
        <w:rPr>
          <w:rFonts w:ascii="KaiTi" w:eastAsia="KaiTi" w:hAnsi="KaiTi" w:cs="KaiTi"/>
          <w:sz w:val="21"/>
          <w:szCs w:val="21"/>
        </w:rPr>
        <w:t>A公司通过研发，创新设计了一款“锦瑟和鸣”图案的宋锦，用其制作的“锦瑟和鸣”手提包在市场上享有极高美誉度。李某开办有一家网店，通过网络直播进行售货，其直播间售卖的手提包图案与“锦瑟和鸣”图案高度相似，只是在颜色深浅上稍有区别。李某声称这是“锦瑟和鸣”手提包的同款系列。一直喜欢非遗产品的赵某对“锦瑟和鸣”手提包情有独钟，于是在李某直播间购买了此款手提包。后赵某发现，李某售卖的该款手提包与A公司无关，也不是真正的宋锦产品，遂向有关部门投诉，李某也受到了相应的行政处罚。</w:t>
      </w:r>
    </w:p>
    <w:p>
      <w:pPr>
        <w:widowControl w:val="0"/>
        <w:spacing w:before="0" w:after="0" w:line="360" w:lineRule="auto"/>
        <w:rPr>
          <w:sz w:val="21"/>
          <w:szCs w:val="21"/>
        </w:rPr>
      </w:pPr>
      <w:r>
        <w:rPr>
          <w:rFonts w:ascii="SimSun" w:eastAsia="SimSun" w:hAnsi="SimSun" w:cs="SimSun"/>
          <w:sz w:val="21"/>
          <w:szCs w:val="21"/>
        </w:rPr>
        <w:t>结合材料，运用《法律与生活》知识，分析说明李某的违法行为，并指出案涉主体应树立哪些法治意识。</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新中国成立以来的75年，是中华民族从积贫积弱走向伟大复兴的75年，是为人类文明的进步与升华贡献中国智慧与力量的75年。</w:t>
      </w:r>
    </w:p>
    <w:p>
      <w:pPr>
        <w:widowControl w:val="0"/>
        <w:spacing w:before="0" w:after="0" w:line="360" w:lineRule="auto"/>
        <w:ind w:firstLine="420"/>
        <w:jc w:val="center"/>
        <w:rPr>
          <w:sz w:val="21"/>
          <w:szCs w:val="21"/>
        </w:rPr>
      </w:pPr>
      <w:r>
        <w:rPr>
          <w:rFonts w:ascii="KaiTi" w:eastAsia="KaiTi" w:hAnsi="KaiTi" w:cs="KaiTi"/>
          <w:sz w:val="21"/>
          <w:szCs w:val="21"/>
        </w:rPr>
        <w:t>【75年：人民为国家筑牢根基】</w:t>
      </w:r>
    </w:p>
    <w:p>
      <w:pPr>
        <w:widowControl w:val="0"/>
        <w:spacing w:before="0" w:after="0" w:line="360" w:lineRule="auto"/>
        <w:ind w:firstLine="420"/>
        <w:rPr>
          <w:sz w:val="21"/>
          <w:szCs w:val="21"/>
        </w:rPr>
      </w:pPr>
      <w:r>
        <w:rPr>
          <w:rFonts w:ascii="KaiTi" w:eastAsia="KaiTi" w:hAnsi="KaiTi" w:cs="KaiTi"/>
          <w:sz w:val="21"/>
          <w:szCs w:val="21"/>
        </w:rPr>
        <w:t>75年来，中国式现代化之路的每个环节、每个方面、每个阶段都紧紧围绕着</w:t>
      </w:r>
      <w:r>
        <w:rPr>
          <w:rFonts w:ascii="SimSun" w:eastAsia="SimSun" w:hAnsi="SimSun" w:cs="SimSun"/>
          <w:sz w:val="21"/>
          <w:szCs w:val="21"/>
        </w:rPr>
        <w:t>“</w:t>
      </w:r>
      <w:r>
        <w:rPr>
          <w:rFonts w:ascii="KaiTi" w:eastAsia="KaiTi" w:hAnsi="KaiTi" w:cs="KaiTi"/>
          <w:sz w:val="21"/>
          <w:szCs w:val="21"/>
        </w:rPr>
        <w:t>人民</w:t>
      </w:r>
      <w:r>
        <w:rPr>
          <w:rFonts w:ascii="SimSun" w:eastAsia="SimSun" w:hAnsi="SimSun" w:cs="SimSun"/>
          <w:sz w:val="21"/>
          <w:szCs w:val="21"/>
        </w:rPr>
        <w:t>”</w:t>
      </w:r>
      <w:r>
        <w:rPr>
          <w:rFonts w:ascii="KaiTi" w:eastAsia="KaiTi" w:hAnsi="KaiTi" w:cs="KaiTi"/>
          <w:sz w:val="21"/>
          <w:szCs w:val="21"/>
        </w:rPr>
        <w:t>这一中心点。人民不仅见证、分享国家发展的巨大成就，更是强国建设、民族复兴伟业的直接参与者、推动者。</w:t>
      </w:r>
    </w:p>
    <w:p>
      <w:pPr>
        <w:widowControl w:val="0"/>
        <w:spacing w:before="0" w:after="0" w:line="360" w:lineRule="auto"/>
        <w:ind w:firstLine="420"/>
        <w:rPr>
          <w:sz w:val="21"/>
          <w:szCs w:val="21"/>
        </w:rPr>
      </w:pPr>
      <w:r>
        <w:rPr>
          <w:rFonts w:ascii="KaiTi" w:eastAsia="KaiTi" w:hAnsi="KaiTi" w:cs="KaiTi"/>
          <w:sz w:val="21"/>
          <w:szCs w:val="21"/>
        </w:rPr>
        <w:t>河南林州，10万建设大军苦干10年，凿出</w:t>
      </w:r>
      <w:r>
        <w:rPr>
          <w:rFonts w:ascii="SimSun" w:eastAsia="SimSun" w:hAnsi="SimSun" w:cs="SimSun"/>
          <w:sz w:val="21"/>
          <w:szCs w:val="21"/>
        </w:rPr>
        <w:t>“</w:t>
      </w:r>
      <w:r>
        <w:rPr>
          <w:rFonts w:ascii="KaiTi" w:eastAsia="KaiTi" w:hAnsi="KaiTi" w:cs="KaiTi"/>
          <w:sz w:val="21"/>
          <w:szCs w:val="21"/>
        </w:rPr>
        <w:t>人工天河</w:t>
      </w:r>
      <w:r>
        <w:rPr>
          <w:rFonts w:ascii="SimSun" w:eastAsia="SimSun" w:hAnsi="SimSun" w:cs="SimSun"/>
          <w:sz w:val="21"/>
          <w:szCs w:val="21"/>
        </w:rPr>
        <w:t>”</w:t>
      </w:r>
      <w:r>
        <w:rPr>
          <w:rFonts w:ascii="KaiTi" w:eastAsia="KaiTi" w:hAnsi="KaiTi" w:cs="KaiTi"/>
          <w:sz w:val="21"/>
          <w:szCs w:val="21"/>
        </w:rPr>
        <w:t>红旗渠。安徽凤阳，小岗村村民的18枚</w:t>
      </w:r>
      <w:r>
        <w:rPr>
          <w:rFonts w:ascii="SimSun" w:eastAsia="SimSun" w:hAnsi="SimSun" w:cs="SimSun"/>
          <w:sz w:val="21"/>
          <w:szCs w:val="21"/>
        </w:rPr>
        <w:t>“</w:t>
      </w:r>
      <w:r>
        <w:rPr>
          <w:rFonts w:ascii="KaiTi" w:eastAsia="KaiTi" w:hAnsi="KaiTi" w:cs="KaiTi"/>
          <w:sz w:val="21"/>
          <w:szCs w:val="21"/>
        </w:rPr>
        <w:t>红手印</w:t>
      </w:r>
      <w:r>
        <w:rPr>
          <w:rFonts w:ascii="SimSun" w:eastAsia="SimSun" w:hAnsi="SimSun" w:cs="SimSun"/>
          <w:sz w:val="21"/>
          <w:szCs w:val="21"/>
        </w:rPr>
        <w:t>”</w:t>
      </w:r>
      <w:r>
        <w:rPr>
          <w:rFonts w:ascii="KaiTi" w:eastAsia="KaiTi" w:hAnsi="KaiTi" w:cs="KaiTi"/>
          <w:sz w:val="21"/>
          <w:szCs w:val="21"/>
        </w:rPr>
        <w:t>，揭开农村改革的序幕。新时代以来，数百万村干部同村民一道奋斗，打赢脱贫攻坚战；科研人员矢志探索，推动中国空间站遨游太空、</w:t>
      </w:r>
      <w:r>
        <w:rPr>
          <w:rFonts w:ascii="SimSun" w:eastAsia="SimSun" w:hAnsi="SimSun" w:cs="SimSun"/>
          <w:sz w:val="21"/>
          <w:szCs w:val="21"/>
        </w:rPr>
        <w:t>“</w:t>
      </w:r>
      <w:r>
        <w:rPr>
          <w:rFonts w:ascii="KaiTi" w:eastAsia="KaiTi" w:hAnsi="KaiTi" w:cs="KaiTi"/>
          <w:sz w:val="21"/>
          <w:szCs w:val="21"/>
        </w:rPr>
        <w:t>奋斗者</w:t>
      </w:r>
      <w:r>
        <w:rPr>
          <w:rFonts w:ascii="SimSun" w:eastAsia="SimSun" w:hAnsi="SimSun" w:cs="SimSun"/>
          <w:sz w:val="21"/>
          <w:szCs w:val="21"/>
        </w:rPr>
        <w:t>”</w:t>
      </w:r>
      <w:r>
        <w:rPr>
          <w:rFonts w:ascii="KaiTi" w:eastAsia="KaiTi" w:hAnsi="KaiTi" w:cs="KaiTi"/>
          <w:sz w:val="21"/>
          <w:szCs w:val="21"/>
        </w:rPr>
        <w:t>号深潜万米海底；一个个建设者奋斗实干，支撑港珠澳大桥、深中通道建成开通</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新征程上，全面建成社会主义现代化强国，党和国家仍需自觉问计于民、问需于民，紧紧依靠人民和衷共济、共襄大业。</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）历史雄辩地证明，人民是推进现代化最坚实的根基、最深厚的力量。结合材料，运用社会历史的主体相关知识，谈谈你的理解。</w:t>
      </w:r>
    </w:p>
    <w:p>
      <w:pPr>
        <w:widowControl w:val="0"/>
        <w:spacing w:before="0" w:after="0" w:line="360" w:lineRule="auto"/>
        <w:ind w:firstLine="420"/>
        <w:jc w:val="center"/>
        <w:rPr>
          <w:sz w:val="21"/>
          <w:szCs w:val="21"/>
        </w:rPr>
      </w:pPr>
      <w:r>
        <w:rPr>
          <w:rFonts w:ascii="KaiTi" w:eastAsia="KaiTi" w:hAnsi="KaiTi" w:cs="KaiTi"/>
          <w:sz w:val="21"/>
          <w:szCs w:val="21"/>
        </w:rPr>
        <w:t>【75年：中国为人类进步担当】</w:t>
      </w:r>
    </w:p>
    <w:p>
      <w:pPr>
        <w:widowControl w:val="0"/>
        <w:spacing w:before="0" w:after="0" w:line="360" w:lineRule="auto"/>
        <w:ind w:firstLine="420"/>
        <w:rPr>
          <w:sz w:val="21"/>
          <w:szCs w:val="21"/>
        </w:rPr>
      </w:pPr>
      <w:r>
        <w:rPr>
          <w:rFonts w:ascii="KaiTi" w:eastAsia="KaiTi" w:hAnsi="KaiTi" w:cs="KaiTi"/>
          <w:sz w:val="21"/>
          <w:szCs w:val="21"/>
        </w:rPr>
        <w:t>根植于中华优秀传统文化，中国外交理念一脉相承，与时俱进，在历史的接力中不断传承、弘扬、升华，推动人类进步事业一程接着一程向前迈进。</w:t>
      </w: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580"/>
        <w:gridCol w:w="1950"/>
        <w:gridCol w:w="5100"/>
        <w:gridCol w:w="4050"/>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7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形成时期</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主要外交理念</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实践剪影</w:t>
            </w:r>
          </w:p>
        </w:tc>
        <w:tc>
          <w:tcPr>
            <w:tcW w:w="207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国际影响</w:t>
            </w:r>
          </w:p>
        </w:tc>
      </w:tr>
      <w:tr>
        <w:tblPrEx>
          <w:tblW w:w="8280" w:type="dxa"/>
          <w:tblInd w:w="128" w:type="dxa"/>
          <w:tblCellMar>
            <w:top w:w="0" w:type="dxa"/>
            <w:left w:w="0" w:type="dxa"/>
            <w:bottom w:w="0" w:type="dxa"/>
            <w:right w:w="0" w:type="dxa"/>
          </w:tblCellMar>
        </w:tblPrEx>
        <w:tc>
          <w:tcPr>
            <w:tcW w:w="207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社会主义革命和建设时期</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和平共处五项原则</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出席</w:t>
            </w:r>
            <w:r>
              <w:rPr>
                <w:b w:val="0"/>
                <w:bCs w:val="0"/>
                <w:i w:val="0"/>
                <w:iCs w:val="0"/>
                <w:smallCaps w:val="0"/>
                <w:color w:val="000000"/>
                <w:sz w:val="21"/>
                <w:szCs w:val="21"/>
              </w:rPr>
              <w:t>1955</w:t>
            </w:r>
            <w:r>
              <w:rPr>
                <w:rFonts w:ascii="SimSun" w:eastAsia="SimSun" w:hAnsi="SimSun" w:cs="SimSun"/>
                <w:b w:val="0"/>
                <w:bCs w:val="0"/>
                <w:i w:val="0"/>
                <w:iCs w:val="0"/>
                <w:smallCaps w:val="0"/>
                <w:color w:val="000000"/>
                <w:sz w:val="21"/>
                <w:szCs w:val="21"/>
              </w:rPr>
              <w:t>年亚非会议，提出“求同存异”，促使各方达成协议</w:t>
            </w:r>
          </w:p>
        </w:tc>
        <w:tc>
          <w:tcPr>
            <w:tcW w:w="207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为国际秩序的改革和完善贡献了历史智慧</w:t>
            </w:r>
          </w:p>
        </w:tc>
      </w:tr>
    </w:tbl>
    <w:p>
      <w:pPr>
        <w:widowControl w:val="0"/>
        <w:spacing w:before="0" w:after="0"/>
        <w:jc w:val="both"/>
        <w:rPr>
          <w:sz w:val="0"/>
          <w:szCs w:val="0"/>
        </w:rPr>
      </w:pPr>
      <w:r>
        <w:rPr>
          <w:strike w:val="0"/>
          <w:sz w:val="0"/>
          <w:szCs w:val="0"/>
          <w:u w:val="none"/>
        </w:rPr>
        <w:drawing>
          <wp:inline>
            <wp:extent cx="28575" cy="28575"/>
            <wp:docPr id="100123"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3840"/>
        <w:gridCol w:w="3000"/>
        <w:gridCol w:w="5730"/>
        <w:gridCol w:w="5940"/>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207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改革开放和社会主义现代化建设新时期</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和平与发展是当今时代的主题</w:t>
            </w:r>
          </w:p>
        </w:tc>
        <w:tc>
          <w:tcPr>
            <w:tcW w:w="207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倡导国际关系民主化和建立公正合理的国际政治经济新秩序</w:t>
            </w:r>
          </w:p>
        </w:tc>
        <w:tc>
          <w:tcPr>
            <w:tcW w:w="207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增强了维护世界和平的力量，为世界经济发展提供了重要机遇</w:t>
            </w:r>
          </w:p>
        </w:tc>
      </w:tr>
      <w:tr>
        <w:tblPrEx>
          <w:tblW w:w="8280" w:type="dxa"/>
          <w:tblInd w:w="128" w:type="dxa"/>
          <w:tblCellMar>
            <w:top w:w="0" w:type="dxa"/>
            <w:left w:w="0" w:type="dxa"/>
            <w:bottom w:w="0" w:type="dxa"/>
            <w:right w:w="0" w:type="dxa"/>
          </w:tblCellMar>
        </w:tblPrEx>
        <w:tc>
          <w:tcPr>
            <w:tcW w:w="207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中国特色社会主义新时代</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构建人类命运共同体</w:t>
            </w:r>
          </w:p>
        </w:tc>
        <w:tc>
          <w:tcPr>
            <w:tcW w:w="207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共建“一带一路”；</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支持“全球南方”合作；</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推动“大金砖合作”</w:t>
            </w:r>
          </w:p>
        </w:tc>
        <w:tc>
          <w:tcPr>
            <w:tcW w:w="207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为推动全球治理体系变革和人类进步提供了中国方案</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）结合材料，运用《当代国际政治与经济》知识，说明</w:t>
      </w:r>
      <w:r>
        <w:rPr>
          <w:sz w:val="21"/>
          <w:szCs w:val="21"/>
        </w:rPr>
        <w:t>75</w:t>
      </w:r>
      <w:r>
        <w:rPr>
          <w:rFonts w:ascii="SimSun" w:eastAsia="SimSun" w:hAnsi="SimSun" w:cs="SimSun"/>
          <w:sz w:val="21"/>
          <w:szCs w:val="21"/>
        </w:rPr>
        <w:t>年来中国外交理念是如何传承、弘扬与升华的。</w:t>
      </w:r>
    </w:p>
    <w:p>
      <w:pPr>
        <w:widowControl w:val="0"/>
        <w:spacing w:before="0" w:after="0" w:line="360" w:lineRule="auto"/>
        <w:rPr>
          <w:sz w:val="21"/>
          <w:szCs w:val="21"/>
        </w:rPr>
      </w:pPr>
    </w:p>
    <w:p>
      <w:pPr>
        <w:widowControl w:val="0"/>
        <w:spacing w:before="0" w:after="0" w:line="360" w:lineRule="auto"/>
        <w:jc w:val="both"/>
        <w:rPr>
          <w:sz w:val="21"/>
          <w:szCs w:val="21"/>
        </w:rPr>
      </w:pPr>
      <w:r>
        <w:rPr>
          <w:strike w:val="0"/>
          <w:sz w:val="21"/>
          <w:szCs w:val="21"/>
          <w:u w:val="none"/>
        </w:rPr>
        <w:drawing>
          <wp:inline>
            <wp:extent cx="28575" cy="28575"/>
            <wp:docPr id="100137"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10.png"/><Relationship Id="rId16" Type="http://schemas.openxmlformats.org/officeDocument/2006/relationships/image" Target="media/image11.png"/><Relationship Id="rId2" Type="http://schemas.openxmlformats.org/officeDocument/2006/relationships/webSettings" Target="webSettings.xml"/><Relationship Id="rId20" Type="http://schemas.openxmlformats.org/officeDocument/2006/relationships/theme" Target="theme/theme1.xml"/><Relationship Id="rId21"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8" Type="http://schemas.openxmlformats.org/officeDocument/2006/relationships/image" Target="media/image8.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